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t xml:space="preserve">招　标　文　件</w:t>
      </w:r>
      <w:r/>
    </w:p>
    <w:p>
      <w:pPr>
        <w:jc w:val="center"/>
        <w:spacing w:before="120" w:after="120" w:line="360" w:lineRule="auto"/>
        <w:rPr>
          <w:rFonts w:ascii="仿宋" w:hAnsi="仿宋" w:eastAsia="仿宋" w:cs="仿宋"/>
          <w:b/>
          <w:bCs/>
          <w:color w:val="auto"/>
          <w:sz w:val="32"/>
          <w:szCs w:val="24"/>
          <w:highlight w:val="none"/>
        </w:rPr>
      </w:pPr>
      <w:r>
        <w:rPr>
          <w:rFonts w:ascii="仿宋" w:hAnsi="仿宋" w:eastAsia="仿宋" w:cs="仿宋"/>
          <w:b/>
          <w:bCs/>
          <w:color w:val="auto"/>
          <w:sz w:val="32"/>
          <w:szCs w:val="24"/>
          <w:highlight w:val="none"/>
        </w:rPr>
        <w:t xml:space="preserve">项目名称：</w:t>
      </w:r>
      <w:r>
        <w:rPr>
          <w:rFonts w:hint="eastAsia" w:ascii="仿宋" w:hAnsi="仿宋" w:eastAsia="仿宋" w:cs="仿宋"/>
          <w:b/>
          <w:bCs/>
          <w:color w:val="auto"/>
          <w:sz w:val="32"/>
          <w:szCs w:val="24"/>
          <w:highlight w:val="none"/>
          <w:u w:val="single"/>
        </w:rPr>
        <w:t xml:space="preserve">如东县初中课桌椅更新项目</w:t>
      </w:r>
      <w:r/>
    </w:p>
    <w:p>
      <w:pPr>
        <w:ind w:left="0" w:firstLine="0"/>
        <w:jc w:val="center"/>
        <w:spacing w:before="120" w:after="120" w:line="360" w:lineRule="auto"/>
        <w:rPr>
          <w:rFonts w:ascii="仿宋" w:hAnsi="仿宋" w:eastAsia="仿宋" w:cs="仿宋"/>
          <w:b/>
          <w:bCs/>
          <w:color w:val="auto"/>
          <w:sz w:val="32"/>
          <w:szCs w:val="24"/>
          <w:highlight w:val="none"/>
        </w:rPr>
      </w:pPr>
      <w:r>
        <w:rPr>
          <w:rFonts w:ascii="仿宋" w:hAnsi="仿宋" w:eastAsia="仿宋" w:cs="仿宋"/>
          <w:b/>
          <w:bCs/>
          <w:color w:val="auto"/>
          <w:sz w:val="32"/>
          <w:szCs w:val="24"/>
          <w:highlight w:val="none"/>
        </w:rPr>
        <w:t xml:space="preserve">项目编号：</w:t>
      </w:r>
      <w:r>
        <w:rPr>
          <w:rFonts w:hint="eastAsia" w:ascii="仿宋" w:hAnsi="仿宋" w:eastAsia="仿宋" w:cs="仿宋"/>
          <w:b/>
          <w:bCs/>
          <w:color w:val="auto"/>
          <w:sz w:val="32"/>
          <w:szCs w:val="24"/>
          <w:highlight w:val="none"/>
          <w:u w:val="single"/>
        </w:rPr>
        <w:t xml:space="preserve">JSZC-320623-JSDZ-G2026-0054</w:t>
      </w:r>
      <w:r/>
    </w:p>
    <w:p>
      <w:pPr>
        <w:ind w:left="2800" w:hanging="2800"/>
        <w:rPr>
          <w:rFonts w:ascii="仿宋" w:hAnsi="仿宋" w:eastAsia="仿宋" w:cs="仿宋"/>
          <w:b/>
          <w:color w:val="auto"/>
          <w:sz w:val="28"/>
          <w:szCs w:val="28"/>
          <w:highlight w:val="none"/>
        </w:rPr>
      </w:pPr>
      <w:r>
        <w:rPr>
          <w:rFonts w:ascii="仿宋" w:hAnsi="仿宋" w:eastAsia="仿宋" w:cs="仿宋"/>
          <w:color w:val="auto"/>
          <w:sz w:val="28"/>
          <w:szCs w:val="28"/>
          <w:highlight w:val="none"/>
        </w:rPr>
        <w:t xml:space="preserve">       </w:t>
      </w:r>
      <w:r>
        <w:rPr>
          <w:rFonts w:ascii="仿宋" w:hAnsi="仿宋" w:eastAsia="仿宋" w:cs="仿宋"/>
          <w:b/>
          <w:color w:val="auto"/>
          <w:sz w:val="28"/>
          <w:szCs w:val="28"/>
          <w:highlight w:val="none"/>
        </w:rPr>
        <w:t xml:space="preserve"> </w:t>
      </w:r>
      <w:r/>
    </w:p>
    <w:p>
      <w:pPr>
        <w:jc w:val="center"/>
        <w:rPr>
          <w:rFonts w:ascii="仿宋" w:hAnsi="仿宋" w:eastAsia="仿宋" w:cs="仿宋"/>
          <w:b/>
          <w:color w:val="auto"/>
          <w:sz w:val="28"/>
          <w:szCs w:val="28"/>
          <w:highlight w:val="none"/>
        </w:rPr>
      </w:pPr>
      <w:r>
        <w:rPr>
          <w:rFonts w:ascii="仿宋" w:hAnsi="仿宋" w:eastAsia="仿宋" w:cs="仿宋"/>
          <w:b/>
          <w:color w:val="auto"/>
          <w:sz w:val="28"/>
          <w:szCs w:val="28"/>
          <w:highlight w:val="none"/>
        </w:rPr>
        <w:t xml:space="preserve">（全流程电子化-货物类项目，适用苏采云系统）</w:t>
      </w:r>
      <w:r/>
    </w:p>
    <w:p>
      <w:pPr>
        <w:jc w:val="left"/>
        <w:spacing w:line="360" w:lineRule="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360" w:lineRule="auto"/>
        <w:rPr>
          <w:rFonts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如东县教育体育局</w:t>
      </w:r>
      <w:r/>
    </w:p>
    <w:p>
      <w:pPr>
        <w:jc w:val="center"/>
        <w:spacing w:before="120" w:after="120" w:line="360" w:lineRule="auto"/>
        <w:rPr>
          <w:rFonts w:ascii="仿宋" w:hAnsi="仿宋" w:eastAsia="仿宋" w:cs="仿宋"/>
          <w:b/>
          <w:bCs/>
          <w:color w:val="auto"/>
          <w:sz w:val="32"/>
          <w:szCs w:val="24"/>
          <w:highlight w:val="none"/>
        </w:rPr>
      </w:pPr>
      <w:r>
        <w:rPr>
          <w:rFonts w:ascii="仿宋" w:hAnsi="仿宋" w:eastAsia="仿宋" w:cs="仿宋"/>
          <w:b/>
          <w:bCs/>
          <w:color w:val="auto"/>
          <w:sz w:val="32"/>
          <w:szCs w:val="24"/>
          <w:highlight w:val="none"/>
          <w:u w:val="single"/>
        </w:rPr>
        <w:t xml:space="preserve">2026</w:t>
      </w:r>
      <w:r>
        <w:rPr>
          <w:rFonts w:ascii="仿宋" w:hAnsi="仿宋" w:eastAsia="仿宋" w:cs="仿宋"/>
          <w:b/>
          <w:bCs/>
          <w:color w:val="auto"/>
          <w:sz w:val="32"/>
          <w:szCs w:val="24"/>
          <w:highlight w:val="none"/>
        </w:rPr>
        <w:t xml:space="preserve">年</w:t>
      </w:r>
      <w:r>
        <w:rPr>
          <w:rFonts w:ascii="仿宋" w:hAnsi="仿宋" w:eastAsia="仿宋" w:cs="仿宋"/>
          <w:b/>
          <w:bCs/>
          <w:color w:val="auto"/>
          <w:sz w:val="32"/>
          <w:szCs w:val="24"/>
          <w:highlight w:val="none"/>
          <w:u w:val="single"/>
        </w:rPr>
        <w:t xml:space="preserve">_</w:t>
      </w:r>
      <w:r>
        <w:rPr>
          <w:rFonts w:hint="eastAsia" w:ascii="仿宋" w:hAnsi="仿宋" w:eastAsia="仿宋" w:cs="仿宋"/>
          <w:b/>
          <w:bCs/>
          <w:color w:val="auto"/>
          <w:sz w:val="32"/>
          <w:szCs w:val="24"/>
          <w:highlight w:val="none"/>
          <w:u w:val="single"/>
        </w:rPr>
        <w:t xml:space="preserve">7</w:t>
      </w:r>
      <w:r>
        <w:rPr>
          <w:rFonts w:ascii="仿宋" w:hAnsi="仿宋" w:eastAsia="仿宋" w:cs="仿宋"/>
          <w:b/>
          <w:bCs/>
          <w:color w:val="auto"/>
          <w:sz w:val="32"/>
          <w:szCs w:val="24"/>
          <w:highlight w:val="none"/>
          <w:u w:val="single"/>
        </w:rPr>
        <w:t xml:space="preserve">_</w:t>
      </w:r>
      <w:r>
        <w:rPr>
          <w:rFonts w:ascii="仿宋" w:hAnsi="仿宋" w:eastAsia="仿宋" w:cs="仿宋"/>
          <w:b/>
          <w:bCs/>
          <w:color w:val="auto"/>
          <w:sz w:val="32"/>
          <w:szCs w:val="24"/>
          <w:highlight w:val="none"/>
        </w:rPr>
        <w:t xml:space="preserve">月</w:t>
      </w:r>
      <w:r/>
    </w:p>
    <w:p>
      <w:pPr>
        <w:jc w:val="left"/>
        <w:spacing w:before="120" w:after="120"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w:t>
      </w:r>
      <w:r/>
    </w:p>
    <w:p>
      <w:pPr>
        <w:jc w:val="center"/>
        <w:spacing w:before="120" w:after="120" w:line="360" w:lineRule="auto"/>
        <w:rPr>
          <w:rFonts w:ascii="仿宋" w:hAnsi="仿宋" w:eastAsia="仿宋" w:cs="仿宋"/>
          <w:color w:val="auto"/>
          <w:sz w:val="24"/>
          <w:szCs w:val="24"/>
          <w:highlight w:val="none"/>
          <w:u w:val="single"/>
        </w:rPr>
        <w:sectPr>
          <w:headerReference w:type="default" r:id="rId9"/>
          <w:headerReference w:type="first" r:id="rId10"/>
          <w:footerReference w:type="default" r:id="rId13"/>
          <w:footerReference w:type="first" r:id="rId14"/>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ascii="仿宋" w:hAnsi="仿宋" w:eastAsia="仿宋" w:cs="仿宋"/>
          <w:color w:val="auto"/>
          <w:sz w:val="24"/>
          <w:szCs w:val="24"/>
          <w:highlight w:val="none"/>
          <w:u w:val="single"/>
        </w:rPr>
      </w:r>
      <w:r/>
    </w:p>
    <w:p>
      <w:pPr>
        <w:jc w:val="center"/>
        <w:spacing w:line="480" w:lineRule="auto"/>
        <w:rPr>
          <w:rFonts w:ascii="仿宋" w:hAnsi="仿宋" w:eastAsia="仿宋" w:cs="仿宋"/>
          <w:b/>
          <w:color w:val="auto"/>
          <w:sz w:val="44"/>
          <w:szCs w:val="21"/>
          <w:highlight w:val="none"/>
        </w:rPr>
      </w:pPr>
      <w:r>
        <w:rPr>
          <w:rFonts w:ascii="仿宋" w:hAnsi="仿宋" w:eastAsia="仿宋" w:cs="仿宋"/>
          <w:b/>
          <w:color w:val="auto"/>
          <w:sz w:val="44"/>
          <w:szCs w:val="21"/>
          <w:highlight w:val="none"/>
        </w:rPr>
        <w:t xml:space="preserve">总  目  录</w:t>
      </w:r>
      <w:r/>
    </w:p>
    <w:p>
      <w:pPr>
        <w:spacing w:line="480" w:lineRule="auto"/>
        <w:rPr>
          <w:rFonts w:ascii="仿宋" w:hAnsi="仿宋" w:eastAsia="仿宋" w:cs="仿宋"/>
          <w:b/>
          <w:color w:val="auto"/>
          <w:sz w:val="28"/>
          <w:szCs w:val="21"/>
          <w:highlight w:val="none"/>
        </w:rPr>
      </w:pPr>
      <w:r>
        <w:rPr>
          <w:rFonts w:ascii="仿宋" w:hAnsi="仿宋" w:eastAsia="仿宋" w:cs="仿宋"/>
          <w:b/>
          <w:color w:val="auto"/>
          <w:sz w:val="28"/>
          <w:szCs w:val="21"/>
          <w:highlight w:val="none"/>
        </w:rPr>
      </w:r>
      <w:r/>
    </w:p>
    <w:sdt>
      <w:sdtPr>
        <w15:appearance w15:val="boundingBox"/>
        <w:id w:val="2"/>
        <w:docPartObj>
          <w:docPartGallery w:val="Table of Contents"/>
          <w:docPartUnique w:val="true"/>
        </w:docPartObj>
        <w:rPr>
          <w:color w:val="auto"/>
          <w:highlight w:val="none"/>
        </w:rPr>
      </w:sdtPr>
      <w:sdtContent>
        <w:p>
          <w:pPr>
            <w:pStyle w:val="924"/>
            <w:tabs>
              <w:tab w:val="right" w:pos="8953" w:leader="dot"/>
            </w:tabs>
            <w:rPr>
              <w:rFonts w:ascii="仿宋" w:hAnsi="仿宋" w:eastAsia="仿宋" w:cs="仿宋"/>
              <w:color w:val="auto"/>
              <w:sz w:val="36"/>
              <w:szCs w:val="36"/>
              <w:highlight w:val="none"/>
            </w:rPr>
          </w:pPr>
          <w:r>
            <w:rPr>
              <w:color w:val="auto"/>
              <w:highlight w:val="none"/>
            </w:rPr>
            <w:fldChar w:fldCharType="begin"/>
          </w:r>
          <w:r>
            <w:rPr>
              <w:rStyle w:val="974"/>
              <w:rFonts w:ascii="仿宋" w:hAnsi="仿宋" w:eastAsia="仿宋" w:cs="仿宋"/>
              <w:color w:val="auto"/>
              <w:sz w:val="36"/>
              <w:szCs w:val="56"/>
              <w:highlight w:val="none"/>
            </w:rPr>
            <w:instrText xml:space="preserve">TOC \o "1-1" \h \u </w:instrText>
          </w:r>
          <w:r>
            <w:rPr>
              <w:rStyle w:val="974"/>
              <w:rFonts w:ascii="仿宋" w:hAnsi="仿宋" w:eastAsia="仿宋" w:cs="仿宋"/>
              <w:color w:val="auto"/>
              <w:sz w:val="36"/>
              <w:szCs w:val="56"/>
              <w:highlight w:val="none"/>
            </w:rPr>
            <w:fldChar w:fldCharType="separate"/>
          </w:r>
          <w:r>
            <w:rPr>
              <w:color w:val="auto"/>
              <w:highlight w:val="none"/>
            </w:rPr>
            <w:fldChar w:fldCharType="begin"/>
          </w:r>
          <w:r>
            <w:rPr>
              <w:color w:val="auto"/>
              <w:highlight w:val="none"/>
            </w:rPr>
            <w:instrText xml:space="preserve"> HYPERLINK \l "__RefHeading___Toc28938" \h </w:instrText>
          </w:r>
          <w:r>
            <w:rPr>
              <w:color w:val="auto"/>
              <w:highlight w:val="none"/>
            </w:rPr>
            <w:fldChar w:fldCharType="separate"/>
          </w:r>
          <w:r>
            <w:rPr>
              <w:rStyle w:val="974"/>
              <w:rFonts w:ascii="仿宋" w:hAnsi="仿宋" w:eastAsia="仿宋" w:cs="仿宋"/>
              <w:color w:val="auto"/>
              <w:sz w:val="36"/>
              <w:szCs w:val="56"/>
              <w:highlight w:val="none"/>
            </w:rPr>
            <w:t xml:space="preserve">第一章  投标邀请</w:t>
          </w:r>
          <w:r>
            <w:rPr>
              <w:rStyle w:val="974"/>
              <w:rFonts w:ascii="仿宋" w:hAnsi="仿宋" w:eastAsia="仿宋" w:cs="仿宋"/>
              <w:color w:val="auto"/>
              <w:sz w:val="36"/>
              <w:szCs w:val="36"/>
              <w:highlight w:val="none"/>
            </w:rPr>
            <w:tab/>
          </w:r>
          <w:r>
            <w:rPr>
              <w:rStyle w:val="974"/>
              <w:rFonts w:ascii="仿宋" w:hAnsi="仿宋" w:eastAsia="仿宋" w:cs="仿宋"/>
              <w:color w:val="auto"/>
              <w:sz w:val="36"/>
              <w:szCs w:val="36"/>
              <w:highlight w:val="none"/>
            </w:rPr>
            <w:t xml:space="preserve">2</w:t>
          </w:r>
          <w:r>
            <w:rPr>
              <w:rStyle w:val="974"/>
              <w:rFonts w:ascii="仿宋" w:hAnsi="仿宋" w:eastAsia="仿宋" w:cs="仿宋"/>
              <w:color w:val="auto"/>
              <w:sz w:val="36"/>
              <w:szCs w:val="36"/>
              <w:highlight w:val="none"/>
            </w:rPr>
            <w:fldChar w:fldCharType="end"/>
          </w:r>
          <w:r/>
        </w:p>
        <w:p>
          <w:pPr>
            <w:pStyle w:val="924"/>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"__RefHeading___Toc8900" \h </w:instrText>
          </w:r>
          <w:r>
            <w:rPr>
              <w:color w:val="auto"/>
              <w:highlight w:val="none"/>
            </w:rPr>
            <w:fldChar w:fldCharType="separate"/>
          </w:r>
          <w:r>
            <w:rPr>
              <w:rStyle w:val="974"/>
              <w:rFonts w:ascii="仿宋" w:hAnsi="仿宋" w:eastAsia="仿宋" w:cs="仿宋"/>
              <w:bCs/>
              <w:color w:val="auto"/>
              <w:sz w:val="36"/>
              <w:szCs w:val="56"/>
              <w:highlight w:val="none"/>
            </w:rPr>
            <w:t xml:space="preserve">第二章  投标人须知</w:t>
          </w:r>
          <w:r>
            <w:rPr>
              <w:rStyle w:val="974"/>
              <w:rFonts w:ascii="仿宋" w:hAnsi="仿宋" w:eastAsia="仿宋" w:cs="仿宋"/>
              <w:color w:val="auto"/>
              <w:sz w:val="36"/>
              <w:szCs w:val="36"/>
              <w:highlight w:val="none"/>
            </w:rPr>
            <w:tab/>
          </w:r>
          <w:r>
            <w:rPr>
              <w:rStyle w:val="974"/>
              <w:rFonts w:hint="eastAsia" w:ascii="仿宋" w:hAnsi="仿宋" w:eastAsia="仿宋" w:cs="仿宋"/>
              <w:color w:val="auto"/>
              <w:sz w:val="36"/>
              <w:szCs w:val="36"/>
              <w:highlight w:val="none"/>
              <w:lang w:val="en-US" w:eastAsia="zh-CN"/>
            </w:rPr>
            <w:t xml:space="preserve">6</w:t>
          </w:r>
          <w:r>
            <w:rPr>
              <w:rStyle w:val="974"/>
              <w:rFonts w:ascii="仿宋" w:hAnsi="仿宋" w:eastAsia="仿宋" w:cs="仿宋"/>
              <w:color w:val="auto"/>
              <w:sz w:val="36"/>
              <w:szCs w:val="36"/>
              <w:highlight w:val="none"/>
              <w:lang w:eastAsia="zh-CN"/>
            </w:rPr>
            <w:fldChar w:fldCharType="end"/>
          </w:r>
          <w:r/>
        </w:p>
        <w:p>
          <w:pPr>
            <w:pStyle w:val="924"/>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"__RefHeading___Toc15715" \h </w:instrText>
          </w:r>
          <w:r>
            <w:rPr>
              <w:color w:val="auto"/>
              <w:highlight w:val="none"/>
            </w:rPr>
            <w:fldChar w:fldCharType="separate"/>
          </w:r>
          <w:r>
            <w:rPr>
              <w:rStyle w:val="974"/>
              <w:rFonts w:ascii="仿宋" w:hAnsi="仿宋" w:eastAsia="仿宋" w:cs="仿宋"/>
              <w:bCs/>
              <w:color w:val="auto"/>
              <w:sz w:val="36"/>
              <w:szCs w:val="40"/>
              <w:highlight w:val="none"/>
            </w:rPr>
            <w:t xml:space="preserve">第三章  合同文本</w:t>
          </w:r>
          <w:r>
            <w:rPr>
              <w:rStyle w:val="974"/>
              <w:rFonts w:ascii="仿宋" w:hAnsi="仿宋" w:eastAsia="仿宋" w:cs="仿宋"/>
              <w:color w:val="auto"/>
              <w:sz w:val="36"/>
              <w:szCs w:val="36"/>
              <w:highlight w:val="none"/>
            </w:rPr>
            <w:tab/>
          </w:r>
          <w:r>
            <w:rPr>
              <w:rStyle w:val="974"/>
              <w:rFonts w:ascii="仿宋" w:hAnsi="仿宋" w:eastAsia="仿宋" w:cs="仿宋"/>
              <w:color w:val="auto"/>
              <w:sz w:val="36"/>
              <w:szCs w:val="36"/>
              <w:highlight w:val="none"/>
              <w:lang w:eastAsia="zh-CN"/>
            </w:rPr>
            <w:t xml:space="preserve">17</w:t>
          </w:r>
          <w:r>
            <w:rPr>
              <w:rStyle w:val="974"/>
              <w:rFonts w:ascii="仿宋" w:hAnsi="仿宋" w:eastAsia="仿宋" w:cs="仿宋"/>
              <w:color w:val="auto"/>
              <w:sz w:val="36"/>
              <w:szCs w:val="36"/>
              <w:highlight w:val="none"/>
              <w:lang w:eastAsia="zh-CN"/>
            </w:rPr>
            <w:fldChar w:fldCharType="end"/>
          </w:r>
          <w:r/>
        </w:p>
        <w:p>
          <w:pPr>
            <w:pStyle w:val="924"/>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"__RefHeading___Toc26382" \h </w:instrText>
          </w:r>
          <w:r>
            <w:rPr>
              <w:color w:val="auto"/>
              <w:highlight w:val="none"/>
            </w:rPr>
            <w:fldChar w:fldCharType="separate"/>
          </w:r>
          <w:r>
            <w:rPr>
              <w:rStyle w:val="974"/>
              <w:rFonts w:ascii="仿宋" w:hAnsi="仿宋" w:eastAsia="仿宋" w:cs="仿宋"/>
              <w:bCs/>
              <w:color w:val="auto"/>
              <w:sz w:val="36"/>
              <w:szCs w:val="28"/>
              <w:highlight w:val="none"/>
            </w:rPr>
            <w:t xml:space="preserve">第四章 </w:t>
          </w:r>
          <w:r>
            <w:rPr>
              <w:rStyle w:val="974"/>
              <w:rFonts w:ascii="仿宋" w:hAnsi="仿宋" w:eastAsia="仿宋" w:cs="仿宋"/>
              <w:bCs/>
              <w:color w:val="auto"/>
              <w:sz w:val="36"/>
              <w:szCs w:val="28"/>
              <w:highlight w:val="none"/>
              <w:lang w:eastAsia="zh-CN"/>
            </w:rPr>
            <w:t xml:space="preserve"> </w:t>
          </w:r>
          <w:r>
            <w:rPr>
              <w:rStyle w:val="974"/>
              <w:rFonts w:ascii="仿宋" w:hAnsi="仿宋" w:eastAsia="仿宋" w:cs="仿宋"/>
              <w:bCs/>
              <w:color w:val="auto"/>
              <w:sz w:val="36"/>
              <w:szCs w:val="28"/>
              <w:highlight w:val="none"/>
            </w:rPr>
            <w:t xml:space="preserve">采购需求</w:t>
          </w:r>
          <w:r>
            <w:rPr>
              <w:rStyle w:val="974"/>
              <w:rFonts w:ascii="仿宋" w:hAnsi="仿宋" w:eastAsia="仿宋" w:cs="仿宋"/>
              <w:color w:val="auto"/>
              <w:sz w:val="36"/>
              <w:szCs w:val="36"/>
              <w:highlight w:val="none"/>
            </w:rPr>
            <w:tab/>
          </w:r>
          <w:r>
            <w:rPr>
              <w:rStyle w:val="974"/>
              <w:rFonts w:ascii="仿宋" w:hAnsi="仿宋" w:eastAsia="仿宋" w:cs="仿宋"/>
              <w:color w:val="auto"/>
              <w:sz w:val="36"/>
              <w:szCs w:val="36"/>
              <w:highlight w:val="none"/>
              <w:lang w:eastAsia="zh-CN"/>
            </w:rPr>
            <w:t xml:space="preserve">2</w:t>
          </w:r>
          <w:r>
            <w:rPr>
              <w:rStyle w:val="974"/>
              <w:rFonts w:hint="eastAsia" w:ascii="仿宋" w:hAnsi="仿宋" w:eastAsia="仿宋" w:cs="仿宋"/>
              <w:color w:val="auto"/>
              <w:sz w:val="36"/>
              <w:szCs w:val="36"/>
              <w:highlight w:val="none"/>
              <w:lang w:val="en-US" w:eastAsia="zh-CN"/>
            </w:rPr>
            <w:t xml:space="preserve">1</w:t>
          </w:r>
          <w:r>
            <w:rPr>
              <w:rStyle w:val="974"/>
              <w:rFonts w:ascii="仿宋" w:hAnsi="仿宋" w:eastAsia="仿宋" w:cs="仿宋"/>
              <w:color w:val="auto"/>
              <w:sz w:val="36"/>
              <w:szCs w:val="36"/>
              <w:highlight w:val="none"/>
              <w:lang w:eastAsia="zh-CN"/>
            </w:rPr>
            <w:fldChar w:fldCharType="end"/>
          </w:r>
          <w:r/>
        </w:p>
        <w:p>
          <w:pPr>
            <w:pStyle w:val="924"/>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"__RefHeading___Toc8870" \h </w:instrText>
          </w:r>
          <w:r>
            <w:rPr>
              <w:color w:val="auto"/>
              <w:highlight w:val="none"/>
            </w:rPr>
            <w:fldChar w:fldCharType="separate"/>
          </w:r>
          <w:r>
            <w:rPr>
              <w:rStyle w:val="974"/>
              <w:rFonts w:ascii="仿宋" w:hAnsi="仿宋" w:eastAsia="仿宋" w:cs="仿宋"/>
              <w:bCs/>
              <w:color w:val="auto"/>
              <w:sz w:val="36"/>
              <w:szCs w:val="40"/>
              <w:highlight w:val="none"/>
            </w:rPr>
            <w:t xml:space="preserve">第五章  评标方法与评标标准</w:t>
          </w:r>
          <w:r>
            <w:rPr>
              <w:rStyle w:val="974"/>
              <w:rFonts w:ascii="仿宋" w:hAnsi="仿宋" w:eastAsia="仿宋" w:cs="仿宋"/>
              <w:color w:val="auto"/>
              <w:sz w:val="36"/>
              <w:szCs w:val="36"/>
              <w:highlight w:val="none"/>
            </w:rPr>
            <w:tab/>
          </w:r>
          <w:r>
            <w:rPr>
              <w:rStyle w:val="974"/>
              <w:rFonts w:ascii="仿宋" w:hAnsi="仿宋" w:eastAsia="仿宋" w:cs="仿宋"/>
              <w:color w:val="auto"/>
              <w:sz w:val="36"/>
              <w:szCs w:val="36"/>
              <w:highlight w:val="none"/>
              <w:lang w:eastAsia="zh-CN"/>
            </w:rPr>
            <w:t xml:space="preserve">2</w:t>
          </w:r>
          <w:r>
            <w:rPr>
              <w:rStyle w:val="974"/>
              <w:rFonts w:hint="eastAsia" w:ascii="仿宋" w:hAnsi="仿宋" w:eastAsia="仿宋" w:cs="仿宋"/>
              <w:color w:val="auto"/>
              <w:sz w:val="36"/>
              <w:szCs w:val="36"/>
              <w:highlight w:val="none"/>
              <w:lang w:val="en-US" w:eastAsia="zh-CN"/>
            </w:rPr>
            <w:t xml:space="preserve">9</w:t>
          </w:r>
          <w:r>
            <w:rPr>
              <w:rStyle w:val="974"/>
              <w:rFonts w:ascii="仿宋" w:hAnsi="仿宋" w:eastAsia="仿宋" w:cs="仿宋"/>
              <w:color w:val="auto"/>
              <w:sz w:val="36"/>
              <w:szCs w:val="36"/>
              <w:highlight w:val="none"/>
              <w:lang w:eastAsia="zh-CN"/>
            </w:rPr>
            <w:fldChar w:fldCharType="end"/>
          </w:r>
          <w:r/>
        </w:p>
        <w:p>
          <w:pPr>
            <w:pStyle w:val="924"/>
            <w:tabs>
              <w:tab w:val="right" w:pos="8953" w:leader="dot"/>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"__RefHeading___Toc5763" \h </w:instrText>
          </w:r>
          <w:r>
            <w:rPr>
              <w:color w:val="auto"/>
              <w:highlight w:val="none"/>
            </w:rPr>
            <w:fldChar w:fldCharType="separate"/>
          </w:r>
          <w:r>
            <w:rPr>
              <w:rStyle w:val="974"/>
              <w:rFonts w:ascii="仿宋" w:hAnsi="仿宋" w:eastAsia="仿宋" w:cs="仿宋"/>
              <w:bCs/>
              <w:color w:val="auto"/>
              <w:sz w:val="36"/>
              <w:szCs w:val="40"/>
              <w:highlight w:val="none"/>
            </w:rPr>
            <w:t xml:space="preserve">第六章  投标文件格式</w:t>
          </w:r>
          <w:r>
            <w:rPr>
              <w:rStyle w:val="974"/>
              <w:rFonts w:ascii="仿宋" w:hAnsi="仿宋" w:eastAsia="仿宋" w:cs="仿宋"/>
              <w:color w:val="auto"/>
              <w:sz w:val="36"/>
              <w:szCs w:val="36"/>
              <w:highlight w:val="none"/>
            </w:rPr>
            <w:tab/>
          </w:r>
          <w:r>
            <w:rPr>
              <w:rStyle w:val="974"/>
              <w:rFonts w:hint="eastAsia" w:ascii="仿宋" w:hAnsi="仿宋" w:eastAsia="仿宋" w:cs="仿宋"/>
              <w:color w:val="auto"/>
              <w:sz w:val="36"/>
              <w:szCs w:val="36"/>
              <w:highlight w:val="none"/>
              <w:lang w:val="en-US" w:eastAsia="zh-CN"/>
            </w:rPr>
            <w:t xml:space="preserve">35</w:t>
          </w:r>
          <w:r>
            <w:rPr>
              <w:rStyle w:val="974"/>
              <w:rFonts w:ascii="仿宋" w:hAnsi="仿宋" w:eastAsia="仿宋" w:cs="仿宋"/>
              <w:color w:val="auto"/>
              <w:sz w:val="36"/>
              <w:szCs w:val="36"/>
              <w:highlight w:val="none"/>
              <w:lang w:eastAsia="zh-CN"/>
            </w:rPr>
            <w:fldChar w:fldCharType="end"/>
          </w:r>
          <w:r>
            <w:rPr>
              <w:rStyle w:val="974"/>
              <w:rFonts w:ascii="仿宋" w:hAnsi="仿宋" w:eastAsia="仿宋" w:cs="仿宋"/>
              <w:color w:val="auto"/>
              <w:sz w:val="36"/>
              <w:szCs w:val="36"/>
              <w:highlight w:val="none"/>
              <w:lang w:eastAsia="zh-CN"/>
            </w:rPr>
            <w:fldChar w:fldCharType="end"/>
          </w:r>
          <w:r/>
        </w:p>
      </w:sdtContent>
    </w:sdt>
    <w:p>
      <w:pPr>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rPr>
          <w:rFonts w:ascii="仿宋" w:hAnsi="仿宋" w:eastAsia="仿宋" w:cs="仿宋"/>
          <w:color w:val="auto"/>
          <w:sz w:val="36"/>
          <w:szCs w:val="21"/>
          <w:highlight w:val="none"/>
        </w:rPr>
      </w:pPr>
      <w:r>
        <w:rPr>
          <w:rFonts w:ascii="仿宋" w:hAnsi="仿宋" w:eastAsia="仿宋" w:cs="仿宋"/>
          <w:color w:val="auto"/>
          <w:sz w:val="36"/>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color w:val="auto"/>
          <w:highlight w:val="none"/>
        </w:rPr>
        <w:br w:type="page" w:clear="all"/>
      </w:r>
      <w:r/>
    </w:p>
    <w:p>
      <w:pPr>
        <w:jc w:val="center"/>
        <w:keepNext/>
        <w:rPr>
          <w:rFonts w:ascii="仿宋" w:hAnsi="仿宋" w:eastAsia="仿宋" w:cs="仿宋"/>
          <w:b/>
          <w:bCs/>
          <w:color w:val="auto"/>
          <w:sz w:val="44"/>
          <w:szCs w:val="44"/>
          <w:highlight w:val="none"/>
        </w:rPr>
        <w:outlineLvl w:val="0"/>
      </w:pPr>
      <w:r/>
      <w:bookmarkStart w:id="0" w:name="__RefHeading___Toc28938"/>
      <w:r/>
      <w:bookmarkEnd w:id="0"/>
      <w:r>
        <w:rPr>
          <w:rFonts w:ascii="仿宋" w:hAnsi="仿宋" w:eastAsia="仿宋" w:cs="仿宋"/>
          <w:b/>
          <w:bCs/>
          <w:color w:val="auto"/>
          <w:sz w:val="44"/>
          <w:szCs w:val="44"/>
          <w:highlight w:val="none"/>
        </w:rPr>
        <w:t xml:space="preserve">第一章  投标邀请</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rPr>
        <w:t xml:space="preserve">如东县教育体育局</w:t>
      </w:r>
      <w:r>
        <w:rPr>
          <w:rFonts w:ascii="仿宋" w:hAnsi="仿宋" w:eastAsia="仿宋" w:cs="仿宋"/>
          <w:color w:val="auto"/>
          <w:sz w:val="24"/>
          <w:szCs w:val="24"/>
          <w:highlight w:val="none"/>
        </w:rPr>
        <w:t xml:space="preserve">的委托，大洲设计咨询集团有限公司就</w:t>
      </w:r>
      <w:r>
        <w:rPr>
          <w:rFonts w:hint="eastAsia" w:ascii="仿宋" w:hAnsi="仿宋" w:eastAsia="仿宋" w:cs="仿宋"/>
          <w:color w:val="auto"/>
          <w:sz w:val="24"/>
          <w:szCs w:val="24"/>
          <w:highlight w:val="none"/>
        </w:rPr>
        <w:t xml:space="preserve">[如东县初中课桌椅更新项目]</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项目编号:JSZC-320623-JSDZ-G2026-0054</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)进行公开招标采购，欢迎符合条件的供应商投标。</w:t>
      </w:r>
      <w:r/>
    </w:p>
    <w:p>
      <w:pPr>
        <w:ind w:firstLine="480"/>
        <w:spacing w:line="420" w:lineRule="exact"/>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ascii="仿宋" w:hAnsi="仿宋" w:eastAsia="仿宋" w:cs="仿宋"/>
          <w:color w:val="auto"/>
          <w:sz w:val="24"/>
          <w:szCs w:val="24"/>
          <w:highlight w:val="none"/>
        </w:rPr>
        <w:t xml:space="preserve">项目概况</w:t>
      </w:r>
      <w:r/>
    </w:p>
    <w:p>
      <w:pPr>
        <w:ind w:firstLine="480"/>
        <w:spacing w:line="420" w:lineRule="exact"/>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rPr>
        <w:t xml:space="preserve">如东县初中课桌椅更新项目</w:t>
      </w:r>
      <w:r>
        <w:rPr>
          <w:rFonts w:ascii="仿宋" w:hAnsi="仿宋" w:eastAsia="仿宋" w:cs="仿宋"/>
          <w:color w:val="auto"/>
          <w:sz w:val="24"/>
          <w:szCs w:val="24"/>
          <w:highlight w:val="none"/>
        </w:rPr>
        <w:t xml:space="preserve">的潜在投标人可在</w:t>
      </w:r>
      <w:r>
        <w:rPr>
          <w:rFonts w:ascii="仿宋" w:hAnsi="仿宋" w:eastAsia="仿宋" w:cs="仿宋"/>
          <w:color w:val="auto"/>
          <w:sz w:val="24"/>
          <w:szCs w:val="24"/>
          <w:highlight w:val="none"/>
          <w:u w:val="single"/>
        </w:rPr>
        <w:t xml:space="preserve">“江苏政府采购网”自行免费下载</w:t>
      </w:r>
      <w:r>
        <w:rPr>
          <w:rFonts w:ascii="仿宋" w:hAnsi="仿宋" w:eastAsia="仿宋" w:cs="仿宋"/>
          <w:color w:val="auto"/>
          <w:sz w:val="24"/>
          <w:szCs w:val="24"/>
          <w:highlight w:val="none"/>
        </w:rPr>
        <w:t xml:space="preserve">招标文件，并于</w:t>
      </w:r>
      <w:r>
        <w:rPr>
          <w:rFonts w:ascii="仿宋" w:hAnsi="仿宋" w:eastAsia="仿宋" w:cs="仿宋"/>
          <w:color w:val="auto"/>
          <w:sz w:val="24"/>
          <w:szCs w:val="24"/>
          <w:highlight w:val="none"/>
          <w:u w:val="single"/>
        </w:rPr>
        <w:t xml:space="preserve">2026</w:t>
      </w:r>
      <w:r>
        <w:rPr>
          <w:rFonts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8</w:t>
      </w:r>
      <w:r>
        <w:rPr>
          <w:rFonts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6</w:t>
      </w:r>
      <w:r>
        <w:rPr>
          <w:rFonts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9</w:t>
      </w:r>
      <w:r>
        <w:rPr>
          <w:rFonts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00</w:t>
      </w:r>
      <w:r>
        <w:rPr>
          <w:rFonts w:ascii="仿宋" w:hAnsi="仿宋" w:eastAsia="仿宋" w:cs="仿宋"/>
          <w:bCs/>
          <w:color w:val="auto"/>
          <w:sz w:val="24"/>
          <w:szCs w:val="24"/>
          <w:highlight w:val="none"/>
          <w:u w:val="single"/>
        </w:rPr>
        <w:t xml:space="preserve">分（</w:t>
      </w:r>
      <w:r>
        <w:rPr>
          <w:rFonts w:ascii="仿宋" w:hAnsi="仿宋" w:eastAsia="仿宋" w:cs="仿宋"/>
          <w:bCs/>
          <w:color w:val="auto"/>
          <w:sz w:val="24"/>
          <w:szCs w:val="24"/>
          <w:highlight w:val="none"/>
        </w:rPr>
        <w:t xml:space="preserve">北京时间）前递交投标文件</w:t>
      </w:r>
      <w:r>
        <w:rPr>
          <w:rFonts w:ascii="仿宋" w:hAnsi="仿宋" w:eastAsia="仿宋" w:cs="仿宋"/>
          <w:color w:val="auto"/>
          <w:sz w:val="24"/>
          <w:szCs w:val="24"/>
          <w:highlight w:val="none"/>
        </w:rPr>
        <w:t xml:space="preserve">。</w:t>
      </w:r>
      <w:r/>
    </w:p>
    <w:p>
      <w:pPr>
        <w:ind w:firstLine="498"/>
        <w:keepLines/>
        <w:keepNext/>
        <w:spacing w:before="145" w:after="145" w:line="42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一、项目基本情况</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1.项目编号：JSZC-320623-JSDZ-G2026-0054</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rPr>
        <w:t xml:space="preserve">如东县初中课桌椅更新项目</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3.采购方式：公开招标</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4.项目类型：货物</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5.所属行业：工业</w:t>
      </w:r>
      <w:r/>
    </w:p>
    <w:p>
      <w:pPr>
        <w:ind w:firstLine="480"/>
        <w:spacing w:line="420" w:lineRule="exact"/>
        <w:rPr>
          <w:rFonts w:ascii="仿宋" w:hAnsi="仿宋" w:eastAsia="仿宋" w:cs="仿宋"/>
          <w:color w:val="auto"/>
          <w:sz w:val="24"/>
          <w:szCs w:val="24"/>
          <w:highlight w:val="none"/>
        </w:rPr>
      </w:pPr>
      <w:r/>
      <w:bookmarkStart w:id="1" w:name="_Hlk24379207"/>
      <w:r>
        <w:rPr>
          <w:rFonts w:ascii="仿宋" w:hAnsi="仿宋" w:eastAsia="仿宋" w:cs="仿宋"/>
          <w:color w:val="auto"/>
          <w:sz w:val="24"/>
          <w:szCs w:val="24"/>
          <w:highlight w:val="none"/>
        </w:rPr>
        <w:t xml:space="preserve">6.</w:t>
      </w:r>
      <w:bookmarkEnd w:id="1"/>
      <w:r>
        <w:rPr>
          <w:rFonts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rPr>
        <w:t xml:space="preserve">844.2</w:t>
      </w:r>
      <w:r>
        <w:rPr>
          <w:rFonts w:ascii="仿宋" w:hAnsi="仿宋" w:eastAsia="仿宋" w:cs="仿宋"/>
          <w:color w:val="auto"/>
          <w:sz w:val="24"/>
          <w:szCs w:val="24"/>
          <w:highlight w:val="none"/>
        </w:rPr>
        <w:t xml:space="preserve">万元</w:t>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4848"/>
        <w:gridCol w:w="2093"/>
      </w:tblGrid>
      <w:tr>
        <w:trPr>
          <w:jc w:val="center"/>
        </w:trPr>
        <w:tc>
          <w:tcPr>
            <w:tcW w:w="1515"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rPr>
              <w:t xml:space="preserve">分包号</w:t>
            </w:r>
            <w:r/>
          </w:p>
        </w:tc>
        <w:tc>
          <w:tcPr>
            <w:tcW w:w="4848" w:type="dxa"/>
            <w:vAlign w:val="center"/>
            <w:textDirection w:val="lrTb"/>
            <w:noWrap w:val="false"/>
          </w:tcPr>
          <w:p>
            <w:pPr>
              <w:pStyle w:val="924"/>
              <w:jc w:val="center"/>
              <w:rPr>
                <w:b/>
                <w:bCs/>
                <w:color w:val="auto"/>
                <w:highlight w:val="none"/>
                <w:lang w:eastAsia="zh-CN"/>
              </w:rPr>
            </w:pPr>
            <w:r>
              <w:rPr>
                <w:rFonts w:hint="eastAsia" w:ascii="仿宋" w:hAnsi="仿宋" w:eastAsia="仿宋" w:cs="仿宋"/>
                <w:color w:val="auto"/>
                <w:highlight w:val="none"/>
              </w:rPr>
              <w:t xml:space="preserve">项目名称</w:t>
            </w:r>
            <w:r/>
          </w:p>
        </w:tc>
        <w:tc>
          <w:tcPr>
            <w:tcW w:w="2093" w:type="dxa"/>
            <w:vAlign w:val="center"/>
            <w:textDirection w:val="lrTb"/>
            <w:noWrap w:val="false"/>
          </w:tcPr>
          <w:p>
            <w:pPr>
              <w:pStyle w:val="924"/>
              <w:jc w:val="center"/>
              <w:rPr>
                <w:rFonts w:eastAsia="仿宋"/>
                <w:color w:val="auto"/>
                <w:highlight w:val="none"/>
                <w:lang w:eastAsia="zh-CN"/>
              </w:rPr>
            </w:pPr>
            <w:r>
              <w:rPr>
                <w:rFonts w:hint="eastAsia" w:ascii="仿宋" w:hAnsi="仿宋" w:eastAsia="仿宋" w:cs="仿宋"/>
                <w:color w:val="auto"/>
                <w:highlight w:val="none"/>
              </w:rPr>
              <w:t xml:space="preserve">预算金额</w:t>
            </w:r>
            <w:r/>
          </w:p>
        </w:tc>
      </w:tr>
      <w:tr>
        <w:trPr>
          <w:jc w:val="center"/>
        </w:trPr>
        <w:tc>
          <w:tcPr>
            <w:tcW w:w="1515"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rPr>
              <w:t xml:space="preserve">采购包1</w:t>
            </w:r>
            <w:r/>
          </w:p>
        </w:tc>
        <w:tc>
          <w:tcPr>
            <w:tcW w:w="4848"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lang w:eastAsia="zh-CN"/>
              </w:rPr>
              <w:t xml:space="preserve">如东县初中课桌椅更新项目（采购包1）</w:t>
            </w:r>
            <w:r/>
          </w:p>
        </w:tc>
        <w:tc>
          <w:tcPr>
            <w:tcW w:w="2093" w:type="dxa"/>
            <w:vAlign w:val="center"/>
            <w:textDirection w:val="lrTb"/>
            <w:noWrap w:val="false"/>
          </w:tcPr>
          <w:p>
            <w:pPr>
              <w:pStyle w:val="924"/>
              <w:jc w:val="center"/>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238.581</w:t>
            </w:r>
            <w:r>
              <w:rPr>
                <w:rFonts w:hint="eastAsia" w:ascii="仿宋" w:hAnsi="仿宋" w:eastAsia="仿宋" w:cs="仿宋"/>
                <w:color w:val="auto"/>
                <w:highlight w:val="none"/>
              </w:rPr>
              <w:t xml:space="preserve">万元</w:t>
            </w:r>
            <w:r/>
          </w:p>
        </w:tc>
      </w:tr>
      <w:tr>
        <w:trPr>
          <w:jc w:val="center"/>
        </w:trPr>
        <w:tc>
          <w:tcPr>
            <w:tcW w:w="1515" w:type="dxa"/>
            <w:vAlign w:val="center"/>
            <w:textDirection w:val="lrTb"/>
            <w:noWrap w:val="false"/>
          </w:tcPr>
          <w:p>
            <w:pPr>
              <w:pStyle w:val="924"/>
              <w:jc w:val="center"/>
              <w:rPr>
                <w:rFonts w:eastAsia="仿宋"/>
                <w:color w:val="auto"/>
                <w:highlight w:val="none"/>
                <w:lang w:eastAsia="zh-CN"/>
              </w:rPr>
            </w:pPr>
            <w:r>
              <w:rPr>
                <w:rFonts w:hint="eastAsia" w:ascii="仿宋" w:hAnsi="仿宋" w:eastAsia="仿宋" w:cs="仿宋"/>
                <w:color w:val="auto"/>
                <w:highlight w:val="none"/>
              </w:rPr>
              <w:t xml:space="preserve">采购包</w:t>
            </w:r>
            <w:r>
              <w:rPr>
                <w:rFonts w:hint="eastAsia" w:ascii="仿宋" w:hAnsi="仿宋" w:eastAsia="仿宋" w:cs="仿宋"/>
                <w:color w:val="auto"/>
                <w:highlight w:val="none"/>
                <w:lang w:eastAsia="zh-CN"/>
              </w:rPr>
              <w:t xml:space="preserve">2</w:t>
            </w:r>
            <w:r/>
          </w:p>
        </w:tc>
        <w:tc>
          <w:tcPr>
            <w:tcW w:w="4848"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lang w:eastAsia="zh-CN"/>
              </w:rPr>
              <w:t xml:space="preserve">如东县初中课桌椅更新项目（采购包2）</w:t>
            </w:r>
            <w:r/>
          </w:p>
        </w:tc>
        <w:tc>
          <w:tcPr>
            <w:tcW w:w="2093" w:type="dxa"/>
            <w:vAlign w:val="center"/>
            <w:textDirection w:val="lrTb"/>
            <w:noWrap w:val="false"/>
          </w:tcPr>
          <w:p>
            <w:pPr>
              <w:pStyle w:val="924"/>
              <w:jc w:val="center"/>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202.104</w:t>
            </w:r>
            <w:r>
              <w:rPr>
                <w:rFonts w:hint="eastAsia" w:ascii="仿宋" w:hAnsi="仿宋" w:eastAsia="仿宋" w:cs="仿宋"/>
                <w:color w:val="auto"/>
                <w:highlight w:val="none"/>
              </w:rPr>
              <w:t xml:space="preserve">万元</w:t>
            </w:r>
            <w:r/>
          </w:p>
        </w:tc>
      </w:tr>
      <w:tr>
        <w:trPr>
          <w:jc w:val="center"/>
        </w:trPr>
        <w:tc>
          <w:tcPr>
            <w:tcW w:w="1515" w:type="dxa"/>
            <w:vAlign w:val="center"/>
            <w:textDirection w:val="lrTb"/>
            <w:noWrap w:val="false"/>
          </w:tcPr>
          <w:p>
            <w:pPr>
              <w:pStyle w:val="924"/>
              <w:jc w:val="center"/>
              <w:rPr>
                <w:rFonts w:eastAsia="仿宋"/>
                <w:color w:val="auto"/>
                <w:highlight w:val="none"/>
                <w:lang w:eastAsia="zh-CN"/>
              </w:rPr>
            </w:pPr>
            <w:r>
              <w:rPr>
                <w:rFonts w:hint="eastAsia" w:ascii="仿宋" w:hAnsi="仿宋" w:eastAsia="仿宋" w:cs="仿宋"/>
                <w:color w:val="auto"/>
                <w:highlight w:val="none"/>
              </w:rPr>
              <w:t xml:space="preserve">采购包</w:t>
            </w:r>
            <w:r>
              <w:rPr>
                <w:rFonts w:hint="eastAsia" w:ascii="仿宋" w:hAnsi="仿宋" w:eastAsia="仿宋" w:cs="仿宋"/>
                <w:color w:val="auto"/>
                <w:highlight w:val="none"/>
                <w:lang w:eastAsia="zh-CN"/>
              </w:rPr>
              <w:t xml:space="preserve">3</w:t>
            </w:r>
            <w:r/>
          </w:p>
        </w:tc>
        <w:tc>
          <w:tcPr>
            <w:tcW w:w="4848"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lang w:eastAsia="zh-CN"/>
              </w:rPr>
              <w:t xml:space="preserve">如东县初中课桌椅更新项目（采购包3）</w:t>
            </w:r>
            <w:r/>
          </w:p>
        </w:tc>
        <w:tc>
          <w:tcPr>
            <w:tcW w:w="2093" w:type="dxa"/>
            <w:vAlign w:val="center"/>
            <w:textDirection w:val="lrTb"/>
            <w:noWrap w:val="false"/>
          </w:tcPr>
          <w:p>
            <w:pPr>
              <w:pStyle w:val="924"/>
              <w:jc w:val="center"/>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198.576</w:t>
            </w:r>
            <w:r>
              <w:rPr>
                <w:rFonts w:hint="eastAsia" w:ascii="仿宋" w:hAnsi="仿宋" w:eastAsia="仿宋" w:cs="仿宋"/>
                <w:color w:val="auto"/>
                <w:highlight w:val="none"/>
              </w:rPr>
              <w:t xml:space="preserve">万元</w:t>
            </w:r>
            <w:r/>
          </w:p>
        </w:tc>
      </w:tr>
      <w:tr>
        <w:trPr>
          <w:jc w:val="center"/>
        </w:trPr>
        <w:tc>
          <w:tcPr>
            <w:tcW w:w="1515" w:type="dxa"/>
            <w:vAlign w:val="center"/>
            <w:textDirection w:val="lrTb"/>
            <w:noWrap w:val="false"/>
          </w:tcPr>
          <w:p>
            <w:pPr>
              <w:pStyle w:val="924"/>
              <w:jc w:val="center"/>
              <w:rPr>
                <w:rFonts w:eastAsia="仿宋"/>
                <w:color w:val="auto"/>
                <w:highlight w:val="none"/>
                <w:lang w:eastAsia="zh-CN"/>
              </w:rPr>
            </w:pPr>
            <w:r>
              <w:rPr>
                <w:rFonts w:hint="eastAsia" w:ascii="仿宋" w:hAnsi="仿宋" w:eastAsia="仿宋" w:cs="仿宋"/>
                <w:color w:val="auto"/>
                <w:highlight w:val="none"/>
              </w:rPr>
              <w:t xml:space="preserve">采购包</w:t>
            </w:r>
            <w:r>
              <w:rPr>
                <w:rFonts w:hint="eastAsia" w:ascii="仿宋" w:hAnsi="仿宋" w:eastAsia="仿宋" w:cs="仿宋"/>
                <w:color w:val="auto"/>
                <w:highlight w:val="none"/>
                <w:lang w:eastAsia="zh-CN"/>
              </w:rPr>
              <w:t xml:space="preserve">4</w:t>
            </w:r>
            <w:r/>
          </w:p>
        </w:tc>
        <w:tc>
          <w:tcPr>
            <w:tcW w:w="4848"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lang w:eastAsia="zh-CN"/>
              </w:rPr>
              <w:t xml:space="preserve">如东县初中课桌椅更新项目（采购包4）</w:t>
            </w:r>
            <w:r/>
          </w:p>
        </w:tc>
        <w:tc>
          <w:tcPr>
            <w:tcW w:w="2093" w:type="dxa"/>
            <w:vAlign w:val="center"/>
            <w:textDirection w:val="lrTb"/>
            <w:noWrap w:val="false"/>
          </w:tcPr>
          <w:p>
            <w:pPr>
              <w:pStyle w:val="924"/>
              <w:jc w:val="center"/>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204.939</w:t>
            </w:r>
            <w:r>
              <w:rPr>
                <w:rFonts w:hint="eastAsia" w:ascii="仿宋" w:hAnsi="仿宋" w:eastAsia="仿宋" w:cs="仿宋"/>
                <w:color w:val="auto"/>
                <w:highlight w:val="none"/>
              </w:rPr>
              <w:t xml:space="preserve">万元</w:t>
            </w:r>
            <w:r/>
          </w:p>
        </w:tc>
      </w:tr>
    </w:tbl>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最高限价（如有）：</w:t>
      </w:r>
      <w:r>
        <w:rPr>
          <w:rFonts w:hint="eastAsia" w:ascii="仿宋" w:hAnsi="仿宋" w:eastAsia="仿宋" w:cs="仿宋"/>
          <w:color w:val="auto"/>
          <w:sz w:val="24"/>
          <w:szCs w:val="24"/>
          <w:highlight w:val="none"/>
        </w:rPr>
        <w:t xml:space="preserve">844.2</w:t>
      </w:r>
      <w:r>
        <w:rPr>
          <w:rFonts w:ascii="仿宋" w:hAnsi="仿宋" w:eastAsia="仿宋" w:cs="仿宋"/>
          <w:color w:val="auto"/>
          <w:sz w:val="24"/>
          <w:szCs w:val="24"/>
          <w:highlight w:val="none"/>
        </w:rPr>
        <w:t xml:space="preserve">万元</w:t>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4848"/>
        <w:gridCol w:w="2093"/>
      </w:tblGrid>
      <w:tr>
        <w:trPr>
          <w:jc w:val="center"/>
        </w:trPr>
        <w:tc>
          <w:tcPr>
            <w:tcW w:w="1515"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rPr>
              <w:t xml:space="preserve">分包号</w:t>
            </w:r>
            <w:r/>
          </w:p>
        </w:tc>
        <w:tc>
          <w:tcPr>
            <w:tcW w:w="4848" w:type="dxa"/>
            <w:vAlign w:val="center"/>
            <w:textDirection w:val="lrTb"/>
            <w:noWrap w:val="false"/>
          </w:tcPr>
          <w:p>
            <w:pPr>
              <w:pStyle w:val="924"/>
              <w:jc w:val="center"/>
              <w:rPr>
                <w:b/>
                <w:bCs/>
                <w:color w:val="auto"/>
                <w:highlight w:val="none"/>
                <w:lang w:eastAsia="zh-CN"/>
              </w:rPr>
            </w:pPr>
            <w:r>
              <w:rPr>
                <w:rFonts w:hint="eastAsia" w:ascii="仿宋" w:hAnsi="仿宋" w:eastAsia="仿宋" w:cs="仿宋"/>
                <w:color w:val="auto"/>
                <w:highlight w:val="none"/>
              </w:rPr>
              <w:t xml:space="preserve">项目名称</w:t>
            </w:r>
            <w:r/>
          </w:p>
        </w:tc>
        <w:tc>
          <w:tcPr>
            <w:tcW w:w="2093" w:type="dxa"/>
            <w:vAlign w:val="center"/>
            <w:textDirection w:val="lrTb"/>
            <w:noWrap w:val="false"/>
          </w:tcPr>
          <w:p>
            <w:pPr>
              <w:pStyle w:val="924"/>
              <w:jc w:val="center"/>
              <w:rPr>
                <w:rFonts w:eastAsia="仿宋"/>
                <w:color w:val="auto"/>
                <w:highlight w:val="none"/>
                <w:lang w:eastAsia="zh-CN"/>
              </w:rPr>
            </w:pPr>
            <w:r>
              <w:rPr>
                <w:rFonts w:hint="eastAsia" w:ascii="仿宋" w:hAnsi="仿宋" w:eastAsia="仿宋" w:cs="仿宋"/>
                <w:color w:val="auto"/>
                <w:highlight w:val="none"/>
              </w:rPr>
              <w:t xml:space="preserve">预算金额</w:t>
            </w:r>
            <w:r/>
          </w:p>
        </w:tc>
      </w:tr>
      <w:tr>
        <w:trPr>
          <w:jc w:val="center"/>
        </w:trPr>
        <w:tc>
          <w:tcPr>
            <w:tcW w:w="1515"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rPr>
              <w:t xml:space="preserve">采购包1</w:t>
            </w:r>
            <w:r/>
          </w:p>
        </w:tc>
        <w:tc>
          <w:tcPr>
            <w:tcW w:w="4848"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lang w:eastAsia="zh-CN"/>
              </w:rPr>
              <w:t xml:space="preserve">如东县初中课桌椅更新项目（采购包1）</w:t>
            </w:r>
            <w:r/>
          </w:p>
        </w:tc>
        <w:tc>
          <w:tcPr>
            <w:tcW w:w="2093" w:type="dxa"/>
            <w:vAlign w:val="center"/>
            <w:textDirection w:val="lrTb"/>
            <w:noWrap w:val="false"/>
          </w:tcPr>
          <w:p>
            <w:pPr>
              <w:pStyle w:val="924"/>
              <w:jc w:val="center"/>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238.581</w:t>
            </w:r>
            <w:r>
              <w:rPr>
                <w:rFonts w:hint="eastAsia" w:ascii="仿宋" w:hAnsi="仿宋" w:eastAsia="仿宋" w:cs="仿宋"/>
                <w:color w:val="auto"/>
                <w:highlight w:val="none"/>
              </w:rPr>
              <w:t xml:space="preserve">万元</w:t>
            </w:r>
            <w:r/>
          </w:p>
        </w:tc>
      </w:tr>
      <w:tr>
        <w:trPr>
          <w:jc w:val="center"/>
        </w:trPr>
        <w:tc>
          <w:tcPr>
            <w:tcW w:w="1515" w:type="dxa"/>
            <w:vAlign w:val="center"/>
            <w:textDirection w:val="lrTb"/>
            <w:noWrap w:val="false"/>
          </w:tcPr>
          <w:p>
            <w:pPr>
              <w:pStyle w:val="924"/>
              <w:jc w:val="center"/>
              <w:rPr>
                <w:rFonts w:eastAsia="仿宋"/>
                <w:color w:val="auto"/>
                <w:highlight w:val="none"/>
                <w:lang w:eastAsia="zh-CN"/>
              </w:rPr>
            </w:pPr>
            <w:r>
              <w:rPr>
                <w:rFonts w:hint="eastAsia" w:ascii="仿宋" w:hAnsi="仿宋" w:eastAsia="仿宋" w:cs="仿宋"/>
                <w:color w:val="auto"/>
                <w:highlight w:val="none"/>
              </w:rPr>
              <w:t xml:space="preserve">采购包</w:t>
            </w:r>
            <w:r>
              <w:rPr>
                <w:rFonts w:hint="eastAsia" w:ascii="仿宋" w:hAnsi="仿宋" w:eastAsia="仿宋" w:cs="仿宋"/>
                <w:color w:val="auto"/>
                <w:highlight w:val="none"/>
                <w:lang w:eastAsia="zh-CN"/>
              </w:rPr>
              <w:t xml:space="preserve">2</w:t>
            </w:r>
            <w:r/>
          </w:p>
        </w:tc>
        <w:tc>
          <w:tcPr>
            <w:tcW w:w="4848"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lang w:eastAsia="zh-CN"/>
              </w:rPr>
              <w:t xml:space="preserve">如东县初中课桌椅更新项目（采购包2）</w:t>
            </w:r>
            <w:r/>
          </w:p>
        </w:tc>
        <w:tc>
          <w:tcPr>
            <w:tcW w:w="2093" w:type="dxa"/>
            <w:vAlign w:val="center"/>
            <w:textDirection w:val="lrTb"/>
            <w:noWrap w:val="false"/>
          </w:tcPr>
          <w:p>
            <w:pPr>
              <w:pStyle w:val="924"/>
              <w:jc w:val="center"/>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202.104</w:t>
            </w:r>
            <w:r>
              <w:rPr>
                <w:rFonts w:hint="eastAsia" w:ascii="仿宋" w:hAnsi="仿宋" w:eastAsia="仿宋" w:cs="仿宋"/>
                <w:color w:val="auto"/>
                <w:highlight w:val="none"/>
              </w:rPr>
              <w:t xml:space="preserve">万元</w:t>
            </w:r>
            <w:r/>
          </w:p>
        </w:tc>
      </w:tr>
      <w:tr>
        <w:trPr>
          <w:jc w:val="center"/>
        </w:trPr>
        <w:tc>
          <w:tcPr>
            <w:tcW w:w="1515" w:type="dxa"/>
            <w:vAlign w:val="center"/>
            <w:textDirection w:val="lrTb"/>
            <w:noWrap w:val="false"/>
          </w:tcPr>
          <w:p>
            <w:pPr>
              <w:pStyle w:val="924"/>
              <w:jc w:val="center"/>
              <w:rPr>
                <w:rFonts w:eastAsia="仿宋"/>
                <w:color w:val="auto"/>
                <w:highlight w:val="none"/>
                <w:lang w:eastAsia="zh-CN"/>
              </w:rPr>
            </w:pPr>
            <w:r>
              <w:rPr>
                <w:rFonts w:hint="eastAsia" w:ascii="仿宋" w:hAnsi="仿宋" w:eastAsia="仿宋" w:cs="仿宋"/>
                <w:color w:val="auto"/>
                <w:highlight w:val="none"/>
              </w:rPr>
              <w:t xml:space="preserve">采购包</w:t>
            </w:r>
            <w:r>
              <w:rPr>
                <w:rFonts w:hint="eastAsia" w:ascii="仿宋" w:hAnsi="仿宋" w:eastAsia="仿宋" w:cs="仿宋"/>
                <w:color w:val="auto"/>
                <w:highlight w:val="none"/>
                <w:lang w:eastAsia="zh-CN"/>
              </w:rPr>
              <w:t xml:space="preserve">3</w:t>
            </w:r>
            <w:r/>
          </w:p>
        </w:tc>
        <w:tc>
          <w:tcPr>
            <w:tcW w:w="4848"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lang w:eastAsia="zh-CN"/>
              </w:rPr>
              <w:t xml:space="preserve">如东县初中课桌椅更新项目（采购包3）</w:t>
            </w:r>
            <w:r/>
          </w:p>
        </w:tc>
        <w:tc>
          <w:tcPr>
            <w:tcW w:w="2093" w:type="dxa"/>
            <w:vAlign w:val="center"/>
            <w:textDirection w:val="lrTb"/>
            <w:noWrap w:val="false"/>
          </w:tcPr>
          <w:p>
            <w:pPr>
              <w:pStyle w:val="924"/>
              <w:jc w:val="center"/>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198.576</w:t>
            </w:r>
            <w:r>
              <w:rPr>
                <w:rFonts w:hint="eastAsia" w:ascii="仿宋" w:hAnsi="仿宋" w:eastAsia="仿宋" w:cs="仿宋"/>
                <w:color w:val="auto"/>
                <w:highlight w:val="none"/>
              </w:rPr>
              <w:t xml:space="preserve">万元</w:t>
            </w:r>
            <w:r/>
          </w:p>
        </w:tc>
      </w:tr>
      <w:tr>
        <w:trPr>
          <w:jc w:val="center"/>
        </w:trPr>
        <w:tc>
          <w:tcPr>
            <w:tcW w:w="1515" w:type="dxa"/>
            <w:vAlign w:val="center"/>
            <w:textDirection w:val="lrTb"/>
            <w:noWrap w:val="false"/>
          </w:tcPr>
          <w:p>
            <w:pPr>
              <w:pStyle w:val="924"/>
              <w:jc w:val="center"/>
              <w:rPr>
                <w:rFonts w:eastAsia="仿宋"/>
                <w:color w:val="auto"/>
                <w:highlight w:val="none"/>
                <w:lang w:eastAsia="zh-CN"/>
              </w:rPr>
            </w:pPr>
            <w:r>
              <w:rPr>
                <w:rFonts w:hint="eastAsia" w:ascii="仿宋" w:hAnsi="仿宋" w:eastAsia="仿宋" w:cs="仿宋"/>
                <w:color w:val="auto"/>
                <w:highlight w:val="none"/>
              </w:rPr>
              <w:t xml:space="preserve">采购包</w:t>
            </w:r>
            <w:r>
              <w:rPr>
                <w:rFonts w:hint="eastAsia" w:ascii="仿宋" w:hAnsi="仿宋" w:eastAsia="仿宋" w:cs="仿宋"/>
                <w:color w:val="auto"/>
                <w:highlight w:val="none"/>
                <w:lang w:eastAsia="zh-CN"/>
              </w:rPr>
              <w:t xml:space="preserve">4</w:t>
            </w:r>
            <w:r/>
          </w:p>
        </w:tc>
        <w:tc>
          <w:tcPr>
            <w:tcW w:w="4848" w:type="dxa"/>
            <w:vAlign w:val="center"/>
            <w:textDirection w:val="lrTb"/>
            <w:noWrap w:val="false"/>
          </w:tcPr>
          <w:p>
            <w:pPr>
              <w:pStyle w:val="924"/>
              <w:jc w:val="center"/>
              <w:rPr>
                <w:color w:val="auto"/>
                <w:highlight w:val="none"/>
                <w:lang w:eastAsia="zh-CN"/>
              </w:rPr>
            </w:pPr>
            <w:r>
              <w:rPr>
                <w:rFonts w:hint="eastAsia" w:ascii="仿宋" w:hAnsi="仿宋" w:eastAsia="仿宋" w:cs="仿宋"/>
                <w:color w:val="auto"/>
                <w:highlight w:val="none"/>
                <w:lang w:eastAsia="zh-CN"/>
              </w:rPr>
              <w:t xml:space="preserve">如东县初中课桌椅更新项目（采购包4）</w:t>
            </w:r>
            <w:r/>
          </w:p>
        </w:tc>
        <w:tc>
          <w:tcPr>
            <w:tcW w:w="2093" w:type="dxa"/>
            <w:vAlign w:val="center"/>
            <w:textDirection w:val="lrTb"/>
            <w:noWrap w:val="false"/>
          </w:tcPr>
          <w:p>
            <w:pPr>
              <w:pStyle w:val="924"/>
              <w:jc w:val="center"/>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204.939</w:t>
            </w:r>
            <w:r>
              <w:rPr>
                <w:rFonts w:hint="eastAsia" w:ascii="仿宋" w:hAnsi="仿宋" w:eastAsia="仿宋" w:cs="仿宋"/>
                <w:color w:val="auto"/>
                <w:highlight w:val="none"/>
              </w:rPr>
              <w:t xml:space="preserve">万元</w:t>
            </w:r>
            <w:r/>
          </w:p>
        </w:tc>
      </w:tr>
    </w:tbl>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7.采购需求（简介）：</w:t>
      </w:r>
      <w:r>
        <w:rPr>
          <w:rFonts w:hint="eastAsia" w:ascii="仿宋" w:hAnsi="仿宋" w:eastAsia="仿宋" w:cs="仿宋"/>
          <w:color w:val="auto"/>
          <w:sz w:val="24"/>
          <w:szCs w:val="24"/>
          <w:highlight w:val="none"/>
        </w:rPr>
        <w:t xml:space="preserve">采购包1（新区初中、宾山初中、少体校）合计3787套、采购包2（曹埠初中、新光初中、邱陞中学、马塘中学、童店初中、洋口港实验初中、兵房初中）合计3208套、采购包3（直夫初中、景安初中、于港初中、丰利中学、岔河中学、新店初中）合计3152套、采购包4（栟茶初中、洋口初中、古坳初中、双甸中学、袁庄中学、先民初中）合计3253套，分配到各个学校的课桌椅数量及地点由采购人指定，包括原课桌椅搬运至各校指定点码放，新课桌椅上楼的搬运、安装、调试等。详细内容见本招标文件第四章。</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8.合同履行期限：</w:t>
      </w:r>
      <w:r>
        <w:rPr>
          <w:rFonts w:hint="eastAsia" w:ascii="仿宋" w:hAnsi="仿宋" w:eastAsia="仿宋" w:cs="仿宋"/>
          <w:color w:val="auto"/>
          <w:sz w:val="24"/>
          <w:szCs w:val="24"/>
          <w:highlight w:val="none"/>
          <w:lang w:val="zh-CN"/>
        </w:rPr>
        <w:t xml:space="preserve">中标供应商须在合同签订后30个日历天内完成整个项目，保证所有午休课桌椅均能正常使用。如未按时完工，每延迟一天按合同总价的0.3%每天累计计算从合同款中扣除。供应商须提供加盖公司公章的承诺函放入</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zh-CN"/>
        </w:rPr>
        <w:t xml:space="preserve">文件中，作为响应条件，否则视为无效</w:t>
      </w:r>
      <w:r>
        <w:rPr>
          <w:rFonts w:hint="eastAsia" w:ascii="仿宋" w:hAnsi="仿宋" w:eastAsia="仿宋" w:cs="仿宋"/>
          <w:color w:val="auto"/>
          <w:sz w:val="24"/>
          <w:szCs w:val="24"/>
          <w:highlight w:val="none"/>
        </w:rPr>
        <w:t xml:space="preserve">投标。</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9.本项目是否接受联合体投标：否</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10.本项目是否接受分包：否。</w:t>
      </w:r>
      <w:r/>
    </w:p>
    <w:p>
      <w:pPr>
        <w:ind w:firstLine="498"/>
        <w:keepLines/>
        <w:keepNext/>
        <w:spacing w:before="145" w:after="145" w:line="42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二、申请人的资格要求</w:t>
      </w:r>
      <w:r/>
    </w:p>
    <w:p>
      <w:pPr>
        <w:ind w:firstLine="56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（一）通用资格要求</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1.满足《中华人民共和国政府采购法》第二十二条规定；（按附件3格式进行声明，投标文件中无需提供其他证明材料）；</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3.落实政府采购政策需满足的资格要求：</w:t>
      </w:r>
      <w:r>
        <w:rPr>
          <w:rFonts w:hint="eastAsia" w:ascii="仿宋" w:hAnsi="仿宋" w:eastAsia="仿宋" w:cs="仿宋"/>
          <w:color w:val="auto"/>
          <w:sz w:val="24"/>
          <w:szCs w:val="24"/>
          <w:highlight w:val="none"/>
        </w:rPr>
        <w:t xml:space="preserve">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56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（二）本项目的特定资格要求：无。</w:t>
      </w:r>
      <w:r/>
    </w:p>
    <w:p>
      <w:pPr>
        <w:ind w:firstLine="498"/>
        <w:keepLines/>
        <w:keepNext/>
        <w:spacing w:before="145" w:after="145" w:line="42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三、获取招标文件</w:t>
      </w:r>
      <w:r/>
    </w:p>
    <w:p>
      <w:pPr>
        <w:ind w:firstLine="54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1.时间：自本公告发布之日起5个工作日。</w:t>
      </w:r>
      <w:r/>
    </w:p>
    <w:p>
      <w:pPr>
        <w:ind w:firstLine="54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2.地点：“江苏政府采购网”</w:t>
      </w:r>
      <w:r/>
    </w:p>
    <w:p>
      <w:pPr>
        <w:ind w:firstLine="54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3.方式：凡有意参与投标的供应商须登录江苏政府采购网首页点击“苏采云”→通过CA锁进行响应确认，并自行在招标文件有效获取期内及时下载获取。</w:t>
      </w:r>
      <w:r/>
    </w:p>
    <w:p>
      <w:pPr>
        <w:ind w:firstLine="54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4.售价：免费</w:t>
      </w:r>
      <w:r/>
    </w:p>
    <w:p>
      <w:pPr>
        <w:ind w:firstLine="498"/>
        <w:keepLines/>
        <w:keepNext/>
        <w:spacing w:before="145" w:after="145" w:line="42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四、提交投标文件截止时间、开标时间和地点</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1.2026年</w:t>
      </w:r>
      <w:r>
        <w:rPr>
          <w:rFonts w:hint="eastAsia" w:ascii="仿宋" w:hAnsi="仿宋" w:eastAsia="仿宋" w:cs="仿宋"/>
          <w:color w:val="auto"/>
          <w:sz w:val="24"/>
          <w:szCs w:val="24"/>
          <w:highlight w:val="none"/>
          <w:lang w:val="en-US" w:eastAsia="zh-CN"/>
        </w:rPr>
        <w:t xml:space="preserve">8</w:t>
      </w:r>
      <w:r>
        <w:rPr>
          <w:rFonts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6</w:t>
      </w:r>
      <w:r>
        <w:rPr>
          <w:rFonts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9</w:t>
      </w:r>
      <w:r>
        <w:rPr>
          <w:rFonts w:ascii="仿宋" w:hAnsi="仿宋" w:eastAsia="仿宋" w:cs="仿宋"/>
          <w:color w:val="auto"/>
          <w:sz w:val="24"/>
          <w:szCs w:val="24"/>
          <w:highlight w:val="none"/>
        </w:rPr>
        <w:t xml:space="preserve">点</w:t>
      </w:r>
      <w:r>
        <w:rPr>
          <w:rFonts w:hint="eastAsia" w:ascii="仿宋" w:hAnsi="仿宋" w:eastAsia="仿宋" w:cs="仿宋"/>
          <w:color w:val="auto"/>
          <w:sz w:val="24"/>
          <w:szCs w:val="24"/>
          <w:highlight w:val="none"/>
          <w:lang w:val="en-US" w:eastAsia="zh-CN"/>
        </w:rPr>
        <w:t xml:space="preserve">00</w:t>
      </w:r>
      <w:r>
        <w:rPr>
          <w:rFonts w:ascii="仿宋" w:hAnsi="仿宋" w:eastAsia="仿宋" w:cs="仿宋"/>
          <w:color w:val="auto"/>
          <w:sz w:val="24"/>
          <w:szCs w:val="24"/>
          <w:highlight w:val="none"/>
        </w:rPr>
        <w:t xml:space="preserve">分（北京时间）。逾时，系统将拒绝接受上传投标文件电子文档。</w:t>
      </w:r>
      <w:r/>
    </w:p>
    <w:p>
      <w:pPr>
        <w:ind w:firstLine="480"/>
        <w:spacing w:line="420" w:lineRule="exact"/>
        <w:rPr>
          <w:rFonts w:ascii="仿宋" w:hAnsi="仿宋" w:eastAsia="仿宋" w:cs="仿宋"/>
          <w:bCs/>
          <w:color w:val="auto"/>
          <w:sz w:val="24"/>
          <w:szCs w:val="24"/>
          <w:highlight w:val="none"/>
          <w:u w:val="single"/>
        </w:rPr>
      </w:pPr>
      <w:r>
        <w:rPr>
          <w:rFonts w:ascii="仿宋" w:hAnsi="仿宋" w:eastAsia="仿宋" w:cs="仿宋"/>
          <w:color w:val="auto"/>
          <w:sz w:val="24"/>
          <w:szCs w:val="24"/>
          <w:highlight w:val="none"/>
        </w:rPr>
        <w:t xml:space="preserve">2.地点：“苏采云”政府采购一体化平台</w:t>
      </w:r>
      <w:r>
        <w:rPr>
          <w:rFonts w:ascii="仿宋" w:hAnsi="仿宋" w:eastAsia="仿宋" w:cs="仿宋"/>
          <w:color w:val="auto"/>
          <w:sz w:val="28"/>
          <w:szCs w:val="28"/>
          <w:highlight w:val="none"/>
        </w:rPr>
        <w:t xml:space="preserve">。</w:t>
      </w:r>
      <w:r/>
    </w:p>
    <w:p>
      <w:pPr>
        <w:ind w:firstLine="498"/>
        <w:keepLines/>
        <w:keepNext/>
        <w:spacing w:before="145" w:after="145" w:line="42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五、公告期限</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自本公告发布之日起5个工作日。</w:t>
      </w:r>
      <w:r/>
    </w:p>
    <w:p>
      <w:pPr>
        <w:ind w:firstLine="498"/>
        <w:keepLines/>
        <w:keepNext/>
        <w:spacing w:before="145" w:after="145" w:line="42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六、其他补充事宜</w:t>
      </w:r>
      <w:r/>
    </w:p>
    <w:p>
      <w:pPr>
        <w:pStyle w:val="992"/>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1.项目开标活动模式：不见面远程开标模式。</w:t>
      </w:r>
      <w:r/>
    </w:p>
    <w:p>
      <w:pPr>
        <w:pStyle w:val="992"/>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投标人（含潜在投标人）对采购方式、招标文件中项目需求、供应商资格条件、评标方法和评标标准、资格审查部分、合同文本等应当由采购人答复的询问、质疑，请向采购人提出，由采购人负责答复。投标人对其他事项的询问、质疑请向代理机构提出，由代理机构负责答复。对在“苏采云”系统操作阶段的询问请向交易系统软件维护人员提出。</w:t>
      </w:r>
      <w:r/>
    </w:p>
    <w:p>
      <w:pPr>
        <w:pStyle w:val="992"/>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pStyle w:val="992"/>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4.开标当天投标人应及时登录“苏采云</w:t>
      </w:r>
      <w:r>
        <w:rPr>
          <w:rFonts w:ascii="仿宋" w:hAnsi="仿宋" w:eastAsia="仿宋" w:cs="仿宋"/>
          <w:color w:val="auto"/>
          <w:sz w:val="24"/>
          <w:szCs w:val="24"/>
          <w:highlight w:val="none"/>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firstLine="498"/>
        <w:keepLines/>
        <w:keepNext/>
        <w:spacing w:before="145" w:after="145" w:line="42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七、对本次招标提出询问，请按以下方式联系</w:t>
      </w:r>
      <w:r/>
    </w:p>
    <w:p>
      <w:pPr>
        <w:ind w:firstLine="480"/>
        <w:jc w:val="left"/>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1.采购人信息</w:t>
      </w:r>
      <w:r/>
    </w:p>
    <w:p>
      <w:pPr>
        <w:ind w:firstLine="480"/>
        <w:jc w:val="left"/>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如东县教育体育局</w:t>
      </w:r>
      <w:r/>
    </w:p>
    <w:p>
      <w:pPr>
        <w:ind w:firstLine="480"/>
        <w:jc w:val="left"/>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如东县城中街道黄海西路</w:t>
      </w:r>
      <w:r>
        <w:rPr>
          <w:rFonts w:ascii="仿宋" w:hAnsi="仿宋" w:eastAsia="仿宋" w:cs="仿宋"/>
          <w:color w:val="auto"/>
          <w:sz w:val="24"/>
          <w:szCs w:val="24"/>
          <w:highlight w:val="none"/>
          <w:u w:val="single"/>
        </w:rPr>
        <w:t xml:space="preserve">88</w:t>
      </w:r>
      <w:r>
        <w:rPr>
          <w:rFonts w:hint="eastAsia" w:ascii="仿宋" w:hAnsi="仿宋" w:eastAsia="仿宋" w:cs="仿宋"/>
          <w:color w:val="auto"/>
          <w:sz w:val="24"/>
          <w:szCs w:val="24"/>
          <w:highlight w:val="none"/>
          <w:u w:val="single"/>
        </w:rPr>
        <w:t xml:space="preserve">号</w:t>
      </w:r>
      <w:r/>
    </w:p>
    <w:p>
      <w:pPr>
        <w:ind w:firstLine="480"/>
        <w:jc w:val="left"/>
        <w:spacing w:line="420" w:lineRule="exact"/>
        <w:rPr>
          <w:rFonts w:hint="eastAsia"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lang w:val="en-US" w:eastAsia="zh-CN"/>
        </w:rPr>
        <w:t xml:space="preserve">胡啸</w:t>
      </w:r>
      <w:r/>
    </w:p>
    <w:p>
      <w:pPr>
        <w:ind w:firstLine="480"/>
        <w:jc w:val="left"/>
        <w:spacing w:line="420" w:lineRule="exact"/>
        <w:rPr>
          <w:rFonts w:hint="default"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lang w:val="en-US" w:eastAsia="zh-CN"/>
        </w:rPr>
        <w:t xml:space="preserve">13485171934</w:t>
      </w:r>
      <w:r/>
    </w:p>
    <w:p>
      <w:pPr>
        <w:ind w:firstLine="480"/>
        <w:jc w:val="left"/>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2.采购代理机构信息</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名称：</w:t>
      </w:r>
      <w:r>
        <w:rPr>
          <w:rFonts w:ascii="仿宋" w:hAnsi="仿宋" w:eastAsia="仿宋" w:cs="仿宋"/>
          <w:color w:val="auto"/>
          <w:sz w:val="24"/>
          <w:szCs w:val="24"/>
          <w:highlight w:val="none"/>
          <w:u w:val="single"/>
        </w:rPr>
        <w:t xml:space="preserve">大洲设计咨询集团有限公司</w:t>
      </w:r>
      <w:r/>
    </w:p>
    <w:p>
      <w:pPr>
        <w:ind w:firstLine="480"/>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　址：</w:t>
      </w:r>
      <w:r>
        <w:rPr>
          <w:rFonts w:ascii="仿宋" w:hAnsi="仿宋" w:eastAsia="仿宋" w:cs="仿宋"/>
          <w:color w:val="auto"/>
          <w:sz w:val="24"/>
          <w:szCs w:val="24"/>
          <w:highlight w:val="none"/>
          <w:u w:val="single"/>
        </w:rPr>
        <w:t xml:space="preserve">如东县长江路399号浦发领秀城</w:t>
      </w:r>
      <w:r/>
    </w:p>
    <w:p>
      <w:pPr>
        <w:ind w:firstLine="480"/>
        <w:jc w:val="left"/>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联系方式：</w:t>
      </w:r>
      <w:r>
        <w:rPr>
          <w:rFonts w:ascii="仿宋" w:hAnsi="仿宋" w:eastAsia="仿宋" w:cs="仿宋"/>
          <w:color w:val="auto"/>
          <w:sz w:val="24"/>
          <w:szCs w:val="24"/>
          <w:highlight w:val="none"/>
          <w:u w:val="single"/>
        </w:rPr>
        <w:t xml:space="preserve">18806270807</w:t>
      </w:r>
      <w:r>
        <w:rPr>
          <w:rFonts w:ascii="仿宋" w:hAnsi="仿宋" w:eastAsia="仿宋" w:cs="仿宋"/>
          <w:color w:val="auto"/>
          <w:sz w:val="24"/>
          <w:szCs w:val="24"/>
          <w:highlight w:val="none"/>
        </w:rPr>
        <w:t xml:space="preserve">　　　　　　　　　　　　</w:t>
      </w:r>
      <w:r/>
    </w:p>
    <w:p>
      <w:pPr>
        <w:ind w:firstLine="480"/>
        <w:jc w:val="left"/>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3.项目联系方式</w:t>
      </w:r>
      <w:r/>
    </w:p>
    <w:p>
      <w:pPr>
        <w:ind w:firstLine="480"/>
        <w:jc w:val="left"/>
        <w:spacing w:line="42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u w:val="single"/>
          <w:lang w:val="en-US" w:eastAsia="zh-CN"/>
        </w:rPr>
        <w:t xml:space="preserve">胡啸</w:t>
      </w:r>
      <w:r/>
    </w:p>
    <w:p>
      <w:pPr>
        <w:ind w:firstLine="480"/>
        <w:jc w:val="left"/>
        <w:spacing w:line="42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lang w:val="en-US" w:eastAsia="zh-CN"/>
        </w:rPr>
        <w:t xml:space="preserve">13485171934</w:t>
      </w:r>
      <w:r/>
    </w:p>
    <w:p>
      <w:pPr>
        <w:ind w:firstLine="480"/>
        <w:jc w:val="left"/>
        <w:spacing w:line="42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4.软件维护人员</w:t>
      </w:r>
      <w:r/>
    </w:p>
    <w:p>
      <w:pPr>
        <w:ind w:firstLine="480"/>
        <w:jc w:val="left"/>
        <w:spacing w:line="42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联系方式：</w:t>
      </w:r>
      <w:r>
        <w:rPr>
          <w:rFonts w:ascii="仿宋" w:hAnsi="仿宋" w:eastAsia="仿宋" w:cs="仿宋"/>
          <w:color w:val="auto"/>
          <w:sz w:val="24"/>
          <w:szCs w:val="24"/>
          <w:highlight w:val="none"/>
          <w:u w:val="single"/>
        </w:rPr>
        <w:t xml:space="preserve">0519-86722801、0519-86722806  </w:t>
      </w:r>
      <w:r/>
    </w:p>
    <w:p>
      <w:pPr>
        <w:ind w:firstLine="498"/>
        <w:keepLines/>
        <w:keepNext/>
        <w:spacing w:before="145" w:after="145" w:line="42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八、其他</w:t>
      </w:r>
      <w:r/>
    </w:p>
    <w:p>
      <w:pPr>
        <w:ind w:firstLine="480"/>
        <w:jc w:val="left"/>
        <w:spacing w:line="420" w:lineRule="exact"/>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 根据省财政厅《关于更换全省政府采购交易系统CA数字证书和电子签章的通知》（苏财购〔2023〕</w:t>
      </w:r>
      <w:r>
        <w:rPr>
          <w:rFonts w:ascii="仿宋" w:hAnsi="仿宋" w:eastAsia="仿宋" w:cs="仿宋"/>
          <w:bCs/>
          <w:color w:val="auto"/>
          <w:sz w:val="24"/>
          <w:szCs w:val="24"/>
          <w:highlight w:val="none"/>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420" w:lineRule="exact"/>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420" w:lineRule="exact"/>
        <w:tabs>
          <w:tab w:val="left" w:pos="90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ascii="仿宋" w:hAnsi="仿宋" w:eastAsia="仿宋" w:cs="仿宋"/>
          <w:bCs/>
          <w:color w:val="auto"/>
          <w:sz w:val="24"/>
          <w:szCs w:val="24"/>
          <w:highlight w:val="none"/>
        </w:rPr>
        <w:t xml:space="preserve">有关本次招标的事项若存在变动或修改，敬请及时关注如东县公共资源交易中心在“江苏政府采购网”发布的更正公告。</w:t>
      </w:r>
      <w:r/>
    </w:p>
    <w:p>
      <w:pPr>
        <w:ind w:firstLine="480"/>
        <w:spacing w:line="420" w:lineRule="exact"/>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3.本次招标不收取投标保证金。</w:t>
      </w:r>
      <w:r/>
    </w:p>
    <w:p>
      <w:pPr>
        <w:ind w:firstLine="480"/>
        <w:spacing w:line="420" w:lineRule="exact"/>
        <w:tabs>
          <w:tab w:val="left" w:pos="900" w:leader="none"/>
        </w:tabs>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4.投标供应商可同时投四个包，但只允许中其中一个包，如投标供应商已中前一个包后，可参与后一个包的评审，但不得获得中标人推荐资格。</w:t>
      </w:r>
      <w:r/>
    </w:p>
    <w:p>
      <w:pPr>
        <w:ind w:firstLine="480"/>
        <w:spacing w:line="420" w:lineRule="exact"/>
        <w:tabs>
          <w:tab w:val="left" w:pos="900" w:leader="none"/>
        </w:tabs>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5.项目样品：</w:t>
      </w:r>
      <w:r/>
    </w:p>
    <w:p>
      <w:pPr>
        <w:ind w:firstLine="480"/>
        <w:spacing w:line="420" w:lineRule="exact"/>
        <w:tabs>
          <w:tab w:val="left" w:pos="900" w:leader="none"/>
        </w:tabs>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投标供应商应在规定时间内（2026年</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日（9:00-11：00,14:30-16:30）起至2026年</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日（9:00-11：00,14:30-16:30）止）按照本项目“采购需求”部分要求将样品提供至采购人指定地点。联系人：张老师，联系电话：0513-84531339，13861933223。逾期将不再接收样品，由此带来的后果由供应商自行承担。</w:t>
      </w:r>
      <w:r>
        <w:rPr>
          <w:color w:val="auto"/>
          <w:highlight w:val="none"/>
        </w:rPr>
        <w:br w:type="page" w:clear="all"/>
      </w:r>
      <w:r/>
    </w:p>
    <w:p>
      <w:pPr>
        <w:ind w:right="840"/>
        <w:jc w:val="center"/>
        <w:rPr>
          <w:rFonts w:ascii="仿宋" w:hAnsi="仿宋" w:eastAsia="仿宋" w:cs="仿宋"/>
          <w:color w:val="auto"/>
          <w:sz w:val="44"/>
          <w:szCs w:val="44"/>
          <w:highlight w:val="none"/>
        </w:rPr>
        <w:outlineLvl w:val="0"/>
      </w:pPr>
      <w:r/>
      <w:bookmarkStart w:id="2" w:name="__RefHeading___Toc8900"/>
      <w:r/>
      <w:bookmarkEnd w:id="2"/>
      <w:r>
        <w:rPr>
          <w:rFonts w:ascii="仿宋" w:hAnsi="仿宋" w:eastAsia="仿宋" w:cs="仿宋"/>
          <w:b/>
          <w:bCs/>
          <w:color w:val="auto"/>
          <w:sz w:val="44"/>
          <w:szCs w:val="44"/>
          <w:highlight w:val="none"/>
        </w:rPr>
        <w:t xml:space="preserve">第二章  投标人须知</w:t>
      </w:r>
      <w:r/>
    </w:p>
    <w:p>
      <w:pPr>
        <w:ind w:firstLine="498"/>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一、总则</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1、招标方式</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1.1 本次招标采取公开招标方式，本招标文件仅适用于招标公告中所述项目。</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2、合格的投标人</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2.1满足招标公告中供应商的资格要求的规定。</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 满足本文件实质性要求的规定。</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3、适用法律和标准</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 本次招标及由此产生的合同受中华人民共和国有关的法律法规制约和保护。</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在本项目政府采购活动过程中，如果所执行的标准有更新的，按照最新标准执行</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4、投标费用</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4.1 投标人应自行承担所有与参加投标有关的费用，无论投标过程中的做法和结果如何，采购人</w:t>
      </w:r>
      <w:r>
        <w:rPr>
          <w:rFonts w:hint="eastAsia" w:ascii="仿宋" w:hAnsi="仿宋" w:eastAsia="仿宋" w:cs="仿宋"/>
          <w:bCs/>
          <w:color w:val="auto"/>
          <w:sz w:val="24"/>
          <w:szCs w:val="21"/>
          <w:highlight w:val="none"/>
        </w:rPr>
        <w:t xml:space="preserve">和</w:t>
      </w:r>
      <w:r>
        <w:rPr>
          <w:rFonts w:ascii="仿宋" w:hAnsi="仿宋" w:eastAsia="仿宋" w:cs="仿宋"/>
          <w:bCs/>
          <w:color w:val="auto"/>
          <w:sz w:val="24"/>
          <w:szCs w:val="21"/>
          <w:highlight w:val="none"/>
        </w:rPr>
        <w:t xml:space="preserve">招标代理机构在任何情况下均无义务和责任承担这些费用。</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4.2本次招标代理机构和采购人不收取标书工本费。</w:t>
      </w:r>
      <w:r/>
    </w:p>
    <w:p>
      <w:pPr>
        <w:ind w:firstLine="480"/>
        <w:spacing w:line="400" w:lineRule="exact"/>
        <w:rPr>
          <w:rFonts w:ascii="仿宋" w:hAnsi="仿宋" w:eastAsia="仿宋" w:cs="仿宋"/>
          <w:b/>
          <w:color w:val="auto"/>
          <w:sz w:val="24"/>
          <w:szCs w:val="21"/>
          <w:highlight w:val="none"/>
        </w:rPr>
      </w:pPr>
      <w:r>
        <w:rPr>
          <w:rFonts w:hint="eastAsia" w:ascii="仿宋" w:hAnsi="仿宋" w:eastAsia="仿宋" w:cs="仿宋"/>
          <w:b/>
          <w:bCs/>
          <w:color w:val="auto"/>
          <w:sz w:val="24"/>
          <w:szCs w:val="24"/>
          <w:highlight w:val="none"/>
        </w:rPr>
        <w:t xml:space="preserve">4.3根据财政部关于《政府采购代理机构管理暂行办法》的通知精神，本项目招标代理费由中标人支付，按照【江苏省《招标代理服务收费管理暂行办法》】收费标准×60%收取，请各投标人将此费用一并计入投标报价中。</w:t>
      </w:r>
      <w:r/>
    </w:p>
    <w:p>
      <w:pPr>
        <w:ind w:firstLine="45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30"/>
          <w:szCs w:val="28"/>
          <w:highlight w:val="none"/>
        </w:rPr>
        <w:t xml:space="preserve">5、</w:t>
      </w:r>
      <w:r>
        <w:rPr>
          <w:rFonts w:ascii="仿宋" w:hAnsi="仿宋" w:eastAsia="仿宋" w:cs="仿宋"/>
          <w:b/>
          <w:bCs/>
          <w:color w:val="auto"/>
          <w:sz w:val="28"/>
          <w:szCs w:val="28"/>
          <w:highlight w:val="none"/>
        </w:rPr>
        <w:t xml:space="preserve">招标文件的约束力</w:t>
      </w:r>
      <w:r/>
    </w:p>
    <w:p>
      <w:pPr>
        <w:ind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5.1</w:t>
      </w:r>
      <w:r>
        <w:rPr>
          <w:rFonts w:ascii="仿宋" w:hAnsi="仿宋" w:eastAsia="仿宋" w:cs="仿宋"/>
          <w:color w:val="auto"/>
          <w:sz w:val="24"/>
          <w:szCs w:val="24"/>
          <w:highlight w:val="none"/>
        </w:rPr>
        <w:t xml:space="preserve"> 投标人一旦参加本项目采购活动，即被认为接受了本招标文件的规定和约束。</w:t>
      </w:r>
      <w:r/>
    </w:p>
    <w:p>
      <w:pPr>
        <w:ind w:firstLine="321"/>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二、招标文件</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6、招标文件构成</w:t>
      </w:r>
      <w:r/>
    </w:p>
    <w:p>
      <w:pPr>
        <w:ind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6.1</w:t>
      </w:r>
      <w:r>
        <w:rPr>
          <w:rFonts w:ascii="仿宋" w:hAnsi="仿宋" w:eastAsia="仿宋" w:cs="仿宋"/>
          <w:color w:val="auto"/>
          <w:sz w:val="24"/>
          <w:szCs w:val="21"/>
          <w:highlight w:val="none"/>
        </w:rPr>
        <w:t xml:space="preserve"> 招标文件由以下部分组成：</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（1）投标邀请</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（2）投标人须知</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（3）合同文本</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（4）采购需求</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（5）评标方法与评标标准</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（6）投标文件格式</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请仔细检查招标文件是否齐全，如有缺漏请立即与代理机构联系解决。</w:t>
      </w:r>
      <w:r/>
    </w:p>
    <w:p>
      <w:pPr>
        <w:ind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6.2</w:t>
      </w:r>
      <w:r>
        <w:rPr>
          <w:rFonts w:ascii="仿宋" w:hAnsi="仿宋" w:eastAsia="仿宋" w:cs="仿宋"/>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7、招标文件的澄清</w:t>
      </w:r>
      <w:r/>
    </w:p>
    <w:p>
      <w:pPr>
        <w:ind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7.1</w:t>
      </w:r>
      <w:r>
        <w:rPr>
          <w:rFonts w:ascii="仿宋" w:hAnsi="仿宋" w:eastAsia="仿宋" w:cs="仿宋"/>
          <w:color w:val="auto"/>
          <w:sz w:val="24"/>
          <w:szCs w:val="21"/>
          <w:highlight w:val="none"/>
        </w:rPr>
        <w:t xml:space="preserve"> 任何要求对招标文件进行澄清的投标人，应在投标截止期</w:t>
      </w:r>
      <w:r>
        <w:rPr>
          <w:rFonts w:ascii="仿宋" w:hAnsi="仿宋" w:eastAsia="仿宋" w:cs="仿宋"/>
          <w:b/>
          <w:color w:val="auto"/>
          <w:sz w:val="24"/>
          <w:szCs w:val="24"/>
          <w:highlight w:val="none"/>
        </w:rPr>
        <w:t xml:space="preserve">十日</w:t>
      </w:r>
      <w:r>
        <w:rPr>
          <w:rFonts w:ascii="仿宋" w:hAnsi="仿宋" w:eastAsia="仿宋" w:cs="仿宋"/>
          <w:color w:val="auto"/>
          <w:sz w:val="24"/>
          <w:szCs w:val="24"/>
          <w:highlight w:val="none"/>
        </w:rPr>
        <w:t xml:space="preserve">前</w:t>
      </w:r>
      <w:r>
        <w:rPr>
          <w:rFonts w:ascii="仿宋" w:hAnsi="仿宋" w:eastAsia="仿宋" w:cs="仿宋"/>
          <w:color w:val="auto"/>
          <w:sz w:val="24"/>
          <w:szCs w:val="21"/>
          <w:highlight w:val="none"/>
        </w:rPr>
        <w:t xml:space="preserve">按招标公告中的通讯地址，以书面形式通知采购人。采购人有权对发出的招标文件进行必要的澄清或修改。</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7.2采购人视情组织答疑会</w:t>
      </w:r>
      <w:r>
        <w:rPr>
          <w:rFonts w:hint="eastAsia" w:ascii="仿宋" w:hAnsi="仿宋" w:eastAsia="仿宋" w:cs="仿宋"/>
          <w:color w:val="auto"/>
          <w:sz w:val="24"/>
          <w:szCs w:val="21"/>
          <w:highlight w:val="none"/>
        </w:rPr>
        <w:t xml:space="preserve">。</w:t>
      </w:r>
      <w:r/>
    </w:p>
    <w:p>
      <w:pPr>
        <w:ind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8、招标文件的修改</w:t>
      </w:r>
      <w:r/>
    </w:p>
    <w:p>
      <w:pPr>
        <w:ind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8.1</w:t>
      </w:r>
      <w:r>
        <w:rPr>
          <w:rFonts w:ascii="仿宋" w:hAnsi="仿宋" w:eastAsia="仿宋" w:cs="仿宋"/>
          <w:color w:val="auto"/>
          <w:sz w:val="24"/>
          <w:szCs w:val="21"/>
          <w:highlight w:val="none"/>
        </w:rPr>
        <w:t xml:space="preserve"> 在投标截止时间前，采购人可以对招标文件进行修改。</w:t>
      </w:r>
      <w:r/>
    </w:p>
    <w:p>
      <w:pPr>
        <w:ind w:firstLine="480"/>
        <w:spacing w:line="400" w:lineRule="exact"/>
        <w:rPr>
          <w:rFonts w:ascii="仿宋" w:hAnsi="仿宋" w:eastAsia="仿宋" w:cs="仿宋"/>
          <w:color w:val="auto"/>
          <w:sz w:val="28"/>
          <w:szCs w:val="21"/>
          <w:highlight w:val="none"/>
        </w:rPr>
      </w:pPr>
      <w:r>
        <w:rPr>
          <w:rFonts w:ascii="仿宋" w:hAnsi="仿宋" w:eastAsia="仿宋" w:cs="仿宋"/>
          <w:bCs/>
          <w:color w:val="auto"/>
          <w:sz w:val="24"/>
          <w:szCs w:val="21"/>
          <w:highlight w:val="none"/>
        </w:rPr>
        <w:t xml:space="preserve">8.2 </w:t>
      </w:r>
      <w:r>
        <w:rPr>
          <w:rFonts w:ascii="仿宋" w:hAnsi="仿宋" w:eastAsia="仿宋" w:cs="仿宋"/>
          <w:color w:val="auto"/>
          <w:sz w:val="24"/>
          <w:szCs w:val="21"/>
          <w:highlight w:val="none"/>
        </w:rPr>
        <w:t xml:space="preserve">采购人</w:t>
      </w:r>
      <w:r>
        <w:rPr>
          <w:rFonts w:ascii="仿宋" w:hAnsi="仿宋" w:eastAsia="仿宋" w:cs="仿宋"/>
          <w:color w:val="auto"/>
          <w:sz w:val="24"/>
          <w:szCs w:val="24"/>
          <w:highlight w:val="none"/>
        </w:rPr>
        <w:t xml:space="preserve">有权按照法定的要求</w:t>
      </w:r>
      <w:r>
        <w:rPr>
          <w:rFonts w:ascii="仿宋" w:hAnsi="仿宋" w:eastAsia="仿宋" w:cs="仿宋"/>
          <w:color w:val="auto"/>
          <w:sz w:val="24"/>
          <w:szCs w:val="21"/>
          <w:highlight w:val="none"/>
        </w:rPr>
        <w:t xml:space="preserve">推迟投标截止日期和开标日期。</w:t>
      </w:r>
      <w:r/>
    </w:p>
    <w:p>
      <w:pPr>
        <w:ind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8.3 </w:t>
      </w:r>
      <w:r>
        <w:rPr>
          <w:rFonts w:ascii="仿宋" w:hAnsi="仿宋" w:eastAsia="仿宋" w:cs="仿宋"/>
          <w:color w:val="auto"/>
          <w:sz w:val="24"/>
          <w:szCs w:val="21"/>
          <w:highlight w:val="none"/>
        </w:rPr>
        <w:t xml:space="preserve">招标文件的修改将在江苏政府采购网公布，</w:t>
      </w:r>
      <w:r>
        <w:rPr>
          <w:rFonts w:ascii="仿宋" w:hAnsi="仿宋" w:eastAsia="仿宋" w:cs="仿宋"/>
          <w:color w:val="auto"/>
          <w:sz w:val="24"/>
          <w:szCs w:val="24"/>
          <w:highlight w:val="none"/>
        </w:rPr>
        <w:t xml:space="preserve">补充文件将作为招标文件的组成部分，</w:t>
      </w:r>
      <w:r>
        <w:rPr>
          <w:rFonts w:ascii="仿宋" w:hAnsi="仿宋" w:eastAsia="仿宋" w:cs="仿宋"/>
          <w:color w:val="auto"/>
          <w:sz w:val="24"/>
          <w:szCs w:val="21"/>
          <w:highlight w:val="none"/>
        </w:rPr>
        <w:t xml:space="preserve">并对投标人具有约束力。</w:t>
      </w:r>
      <w:r/>
    </w:p>
    <w:p>
      <w:pPr>
        <w:ind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三、投标文件的编制</w:t>
      </w:r>
      <w:r/>
    </w:p>
    <w:p>
      <w:pPr>
        <w:ind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9、投标文件的语言及度量衡单位</w:t>
      </w:r>
      <w:r/>
    </w:p>
    <w:p>
      <w:pPr>
        <w:ind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9.1</w:t>
      </w:r>
      <w:r>
        <w:rPr>
          <w:rFonts w:ascii="仿宋" w:hAnsi="仿宋" w:eastAsia="仿宋" w:cs="仿宋"/>
          <w:color w:val="auto"/>
          <w:sz w:val="24"/>
          <w:szCs w:val="21"/>
          <w:highlight w:val="none"/>
        </w:rPr>
        <w:t xml:space="preserve"> 投标人提交的投标文件以及投标人与代理机构及采购人就有关投标的所有来往通知、函件和文件均应使用</w:t>
      </w:r>
      <w:r>
        <w:rPr>
          <w:rFonts w:ascii="仿宋" w:hAnsi="仿宋" w:eastAsia="仿宋" w:cs="仿宋"/>
          <w:b/>
          <w:bCs/>
          <w:color w:val="auto"/>
          <w:sz w:val="24"/>
          <w:szCs w:val="21"/>
          <w:highlight w:val="none"/>
        </w:rPr>
        <w:t xml:space="preserve">简体中文</w:t>
      </w:r>
      <w:r>
        <w:rPr>
          <w:rFonts w:ascii="仿宋" w:hAnsi="仿宋" w:eastAsia="仿宋" w:cs="仿宋"/>
          <w:color w:val="auto"/>
          <w:sz w:val="24"/>
          <w:szCs w:val="21"/>
          <w:highlight w:val="none"/>
        </w:rPr>
        <w:t xml:space="preserve">。</w:t>
      </w:r>
      <w:r/>
    </w:p>
    <w:p>
      <w:pPr>
        <w:ind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9.2</w:t>
      </w:r>
      <w:r>
        <w:rPr>
          <w:rFonts w:ascii="仿宋" w:hAnsi="仿宋" w:eastAsia="仿宋" w:cs="仿宋"/>
          <w:color w:val="auto"/>
          <w:sz w:val="24"/>
          <w:szCs w:val="21"/>
          <w:highlight w:val="none"/>
        </w:rPr>
        <w:t xml:space="preserve"> 除技术性能另有规定外，投标文件所使用的度量衡单位，均须采用国家法定计量单位。</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10、投标文件构成</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10.1 投标人编写的投标文件应包括资格证明文件、实质性要求响应及偏离表、投标分项报价表、技术要求响应及偏离表、商务要求响应及偏离表、其他证明文件、投标函、开标一览表等部分。投标人按“第六章  投标文件格式”要求编写投标文件。</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10.2 如标书制作工具中格式和内容与“江苏政府采购网”发布的招标文件不一致，请以“江苏政府采购网”发布的招标文件为准。</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11、证明投标人及投标标的符合招标文件规定的文件</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11.1 投标人应按照招标文件要求提交证明文件，证明其及投标标的符合招标文件规定。</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11.2招标文件对证明文件无明确形式要求的，证明文件可以以文字资料、图纸和数据等形式提交。</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12、投标分项报价表</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12.1 投标人按照招标文件规定格式填报投标分项报价表。</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12.2投标货币。投标文件中的单价和总价无特殊规定的采用人民币报价，以元为单位标注。招标文件中另有规定的按规定执行。</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13、技术要求响应及偏离表、商务要求响应及偏离表</w:t>
      </w:r>
      <w:r/>
    </w:p>
    <w:p>
      <w:pPr>
        <w:ind w:firstLine="480"/>
        <w:spacing w:line="500" w:lineRule="exact"/>
        <w:rPr>
          <w:rFonts w:ascii="仿宋" w:hAnsi="仿宋" w:eastAsia="仿宋" w:cs="仿宋"/>
          <w:color w:val="auto"/>
          <w:sz w:val="24"/>
          <w:szCs w:val="21"/>
          <w:highlight w:val="none"/>
          <w:lang w:val="zh-CN"/>
        </w:rPr>
      </w:pPr>
      <w:r>
        <w:rPr>
          <w:rFonts w:ascii="仿宋" w:hAnsi="仿宋" w:eastAsia="仿宋" w:cs="仿宋"/>
          <w:color w:val="auto"/>
          <w:sz w:val="24"/>
          <w:szCs w:val="21"/>
          <w:highlight w:val="none"/>
          <w:lang w:val="zh-CN"/>
        </w:rPr>
        <w:t xml:space="preserve">13.1</w:t>
      </w:r>
      <w:r>
        <w:rPr>
          <w:rFonts w:ascii="仿宋" w:hAnsi="仿宋" w:eastAsia="仿宋" w:cs="仿宋"/>
          <w:color w:val="auto"/>
          <w:sz w:val="24"/>
          <w:szCs w:val="21"/>
          <w:highlight w:val="none"/>
        </w:rPr>
        <w:t xml:space="preserve">投标人</w:t>
      </w:r>
      <w:r>
        <w:rPr>
          <w:rFonts w:ascii="仿宋" w:hAnsi="仿宋" w:eastAsia="仿宋" w:cs="仿宋"/>
          <w:color w:val="auto"/>
          <w:sz w:val="24"/>
          <w:szCs w:val="21"/>
          <w:highlight w:val="none"/>
          <w:lang w:val="zh-CN"/>
        </w:rPr>
        <w:t xml:space="preserve">需对招标文件中的技术要求与商务要求作出响应，</w:t>
      </w:r>
      <w:r>
        <w:rPr>
          <w:rFonts w:ascii="仿宋" w:hAnsi="仿宋" w:eastAsia="仿宋" w:cs="仿宋"/>
          <w:color w:val="auto"/>
          <w:sz w:val="24"/>
          <w:szCs w:val="21"/>
          <w:highlight w:val="none"/>
        </w:rPr>
        <w:t xml:space="preserve">如有偏离的，应逐条填列在偏离表中，</w:t>
      </w:r>
      <w:r>
        <w:rPr>
          <w:rFonts w:ascii="仿宋" w:hAnsi="仿宋" w:eastAsia="仿宋" w:cs="仿宋"/>
          <w:b/>
          <w:bCs/>
          <w:color w:val="auto"/>
          <w:sz w:val="24"/>
          <w:szCs w:val="21"/>
          <w:highlight w:val="none"/>
        </w:rPr>
        <w:t xml:space="preserve">并说明偏离情况</w:t>
      </w:r>
      <w:r>
        <w:rPr>
          <w:rFonts w:ascii="仿宋" w:hAnsi="仿宋" w:eastAsia="仿宋" w:cs="仿宋"/>
          <w:color w:val="auto"/>
          <w:sz w:val="24"/>
          <w:szCs w:val="21"/>
          <w:highlight w:val="none"/>
        </w:rPr>
        <w:t xml:space="preserve">。</w:t>
      </w:r>
      <w:r/>
    </w:p>
    <w:p>
      <w:pPr>
        <w:ind w:firstLine="480"/>
        <w:spacing w:line="400" w:lineRule="exact"/>
        <w:rPr>
          <w:rFonts w:ascii="仿宋" w:hAnsi="仿宋" w:eastAsia="仿宋" w:cs="仿宋"/>
          <w:color w:val="auto"/>
          <w:sz w:val="24"/>
          <w:szCs w:val="21"/>
          <w:highlight w:val="none"/>
          <w:lang w:val="zh-CN"/>
        </w:rPr>
      </w:pPr>
      <w:r>
        <w:rPr>
          <w:rFonts w:ascii="仿宋" w:hAnsi="仿宋" w:eastAsia="仿宋" w:cs="仿宋"/>
          <w:color w:val="auto"/>
          <w:sz w:val="24"/>
          <w:szCs w:val="21"/>
          <w:highlight w:val="none"/>
          <w:lang w:val="zh-CN"/>
        </w:rPr>
        <w:t xml:space="preserve">13.2 投标人需按照招标文件要求，在投标文件中提供与技术要求和商务要求相关的证明材料。</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14、服务承诺、培训计划、人员安排及其他</w:t>
      </w:r>
      <w:r/>
    </w:p>
    <w:p>
      <w:pPr>
        <w:ind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14.1 </w:t>
      </w:r>
      <w:r>
        <w:rPr>
          <w:rFonts w:ascii="仿宋" w:hAnsi="仿宋" w:eastAsia="仿宋" w:cs="仿宋"/>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14.2 投标人需根据招标文件要求提供培训计划。</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14.3 投标人需根据招标文件要求提供</w:t>
      </w:r>
      <w:r>
        <w:rPr>
          <w:rFonts w:ascii="仿宋" w:hAnsi="仿宋" w:eastAsia="仿宋" w:cs="仿宋"/>
          <w:color w:val="auto"/>
          <w:sz w:val="24"/>
          <w:szCs w:val="21"/>
          <w:highlight w:val="none"/>
          <w:lang w:val="zh-CN"/>
        </w:rPr>
        <w:t xml:space="preserve">所投标的的主要组成部分、功能设计、实现思路及关键技术等。</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15、投标函和开标一览表</w:t>
      </w:r>
      <w:r/>
    </w:p>
    <w:p>
      <w:pPr>
        <w:ind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15.1</w:t>
      </w:r>
      <w:r>
        <w:rPr>
          <w:rFonts w:ascii="仿宋" w:hAnsi="仿宋" w:eastAsia="仿宋" w:cs="仿宋"/>
          <w:color w:val="auto"/>
          <w:sz w:val="24"/>
          <w:szCs w:val="21"/>
          <w:highlight w:val="none"/>
        </w:rPr>
        <w:t xml:space="preserve"> 投标人应按照招标文件中提供的格式完整、正确填写投标函、开标一览表。</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16、投标有效期</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16.1投标有效期为采购人规定的开标之日后</w:t>
      </w:r>
      <w:r>
        <w:rPr>
          <w:rFonts w:ascii="仿宋" w:hAnsi="仿宋" w:eastAsia="仿宋" w:cs="仿宋"/>
          <w:b/>
          <w:color w:val="auto"/>
          <w:sz w:val="24"/>
          <w:szCs w:val="21"/>
          <w:highlight w:val="none"/>
          <w:u w:val="single"/>
        </w:rPr>
        <w:t xml:space="preserve">六十（60）天</w:t>
      </w:r>
      <w:r>
        <w:rPr>
          <w:rFonts w:ascii="仿宋" w:hAnsi="仿宋" w:eastAsia="仿宋" w:cs="仿宋"/>
          <w:bCs/>
          <w:color w:val="auto"/>
          <w:sz w:val="24"/>
          <w:szCs w:val="21"/>
          <w:highlight w:val="none"/>
        </w:rPr>
        <w:t xml:space="preserve">。投标有效期比规定短的将被视为未实质性响应招标文件而予以拒绝。</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17、投标有效期的延长</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ascii="仿宋" w:hAnsi="仿宋" w:eastAsia="仿宋" w:cs="仿宋"/>
          <w:color w:val="auto"/>
          <w:sz w:val="24"/>
          <w:szCs w:val="24"/>
          <w:highlight w:val="none"/>
        </w:rPr>
        <w:t xml:space="preserve">受投标有效期约束的所有权利与义务均延长至新的有效期</w:t>
      </w:r>
      <w:r>
        <w:rPr>
          <w:rFonts w:ascii="仿宋" w:hAnsi="仿宋" w:eastAsia="仿宋" w:cs="仿宋"/>
          <w:bCs/>
          <w:color w:val="auto"/>
          <w:sz w:val="24"/>
          <w:szCs w:val="21"/>
          <w:highlight w:val="none"/>
        </w:rPr>
        <w:t xml:space="preserve">。</w:t>
      </w:r>
      <w:r/>
    </w:p>
    <w:p>
      <w:pPr>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四、投标文件的递交</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18、电子投标文件的递交</w:t>
      </w:r>
      <w:r/>
    </w:p>
    <w:p>
      <w:pPr>
        <w:ind w:left="525"/>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18.1投标人应当按照《操作指南》规定，在投标截止时间前制作并上传电子投标</w:t>
      </w:r>
      <w:r/>
    </w:p>
    <w:p>
      <w:pPr>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文件。</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19、投标截止日期</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19.1</w:t>
      </w:r>
      <w:r>
        <w:rPr>
          <w:rFonts w:ascii="仿宋" w:hAnsi="仿宋" w:eastAsia="仿宋" w:cs="仿宋"/>
          <w:bCs/>
          <w:color w:val="auto"/>
          <w:sz w:val="24"/>
          <w:szCs w:val="21"/>
          <w:highlight w:val="none"/>
        </w:rPr>
        <w:t xml:space="preserve"> 投标人上传电子投标文件的时间不得迟于招标公告中规定的投标截止时间。</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19.2</w:t>
      </w:r>
      <w:r>
        <w:rPr>
          <w:rFonts w:ascii="仿宋" w:hAnsi="仿宋" w:eastAsia="仿宋" w:cs="仿宋"/>
          <w:bCs/>
          <w:color w:val="auto"/>
          <w:sz w:val="24"/>
          <w:szCs w:val="21"/>
          <w:highlight w:val="none"/>
        </w:rPr>
        <w:t xml:space="preserve">采购人可以按照规定，通过修改招标文件酌情延长投标截止日期，在此情况下，投标人的所有权利和义务以及投标人受制的截止日期均应以延长后新的截止日期为准。</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20、投标文件的拒收</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20.1 采购人拒绝接收在其规定的投标截止时间后上传的任何投标文件。</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21、投标文件的撤回和修改</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21.1 投标文件的撤回</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21.1.1 电子投标文件的撤回</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投标人可在投标截止时间前，撤回其电子投标文件，具体操作方法见《操作指南》。</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21.1.2 投标人撤回电子投标文件，则认为其不再参与本项目投标活动。</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21.2 投标文件的修改</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21.2.1投标人可在投标截止时间前，对其电子投标文件进行修改，具体操作方法见《操作指南》。</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21.2.2</w:t>
      </w:r>
      <w:r>
        <w:rPr>
          <w:rFonts w:ascii="仿宋" w:hAnsi="仿宋" w:eastAsia="仿宋" w:cs="仿宋"/>
          <w:bCs/>
          <w:color w:val="auto"/>
          <w:sz w:val="24"/>
          <w:szCs w:val="21"/>
          <w:highlight w:val="none"/>
        </w:rPr>
        <w:t xml:space="preserve"> 在投标截止时间之后，投标人不得对其电子投标文件作任何修改。</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21.3</w:t>
      </w:r>
      <w:r>
        <w:rPr>
          <w:rFonts w:ascii="仿宋" w:hAnsi="仿宋" w:eastAsia="仿宋" w:cs="仿宋"/>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五、开标与评标</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22、开标</w:t>
      </w:r>
      <w:r/>
    </w:p>
    <w:p>
      <w:pPr>
        <w:ind w:firstLine="480"/>
        <w:spacing w:line="400" w:lineRule="exact"/>
        <w:rPr>
          <w:rFonts w:ascii="仿宋" w:hAnsi="仿宋" w:eastAsia="仿宋" w:cs="仿宋"/>
          <w:color w:val="auto"/>
          <w:szCs w:val="21"/>
          <w:highlight w:val="none"/>
        </w:rPr>
      </w:pPr>
      <w:r>
        <w:rPr>
          <w:rFonts w:ascii="仿宋" w:hAnsi="仿宋" w:eastAsia="仿宋" w:cs="仿宋"/>
          <w:color w:val="auto"/>
          <w:sz w:val="24"/>
          <w:szCs w:val="21"/>
          <w:highlight w:val="none"/>
        </w:rPr>
        <w:t xml:space="preserve">22.1</w:t>
      </w:r>
      <w:r>
        <w:rPr>
          <w:rFonts w:ascii="仿宋" w:hAnsi="仿宋" w:eastAsia="仿宋" w:cs="仿宋"/>
          <w:bCs/>
          <w:color w:val="auto"/>
          <w:sz w:val="24"/>
          <w:szCs w:val="21"/>
          <w:highlight w:val="none"/>
        </w:rPr>
        <w:t xml:space="preserve"> 代理机构将在招标公告中规定的时间和地点组织公开开标</w:t>
      </w:r>
      <w:r>
        <w:rPr>
          <w:rFonts w:ascii="仿宋" w:hAnsi="仿宋" w:eastAsia="仿宋" w:cs="仿宋"/>
          <w:color w:val="auto"/>
          <w:sz w:val="24"/>
          <w:szCs w:val="24"/>
          <w:highlight w:val="none"/>
        </w:rPr>
        <w:t xml:space="preserve">。投标人应当按照《操作指南》规定，参加开标活动和在苏采云系统规定的时间内对投标文件进行解密。</w:t>
      </w:r>
      <w:r/>
    </w:p>
    <w:p>
      <w:pPr>
        <w:ind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22.2</w:t>
      </w:r>
      <w:r>
        <w:rPr>
          <w:rFonts w:ascii="仿宋" w:hAnsi="仿宋" w:eastAsia="仿宋" w:cs="仿宋"/>
          <w:color w:val="auto"/>
          <w:sz w:val="24"/>
          <w:szCs w:val="24"/>
          <w:highlight w:val="none"/>
        </w:rPr>
        <w:t xml:space="preserve">开标仪式由代理机构组织。苏采云系统将自动对项目进行开标，并宣布各投标人名称和投标价格。</w:t>
      </w:r>
      <w:r/>
    </w:p>
    <w:p>
      <w:pPr>
        <w:ind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1"/>
          <w:highlight w:val="none"/>
        </w:rPr>
        <w:t xml:space="preserve">22.3投标人在开标过程中涉及到的投标文件解密、开标结果确认等工作，应按照《操作指南》规定执行。</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22.4投标人如果对开标过程和开标记录有疑义，应当根据《操作指南》规定提出，如苏采云系统中《开标记录表》宣布后5分钟内未提出的，视同认可开标结果。</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23、评标委员会</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23.1 开标后，采购人将立即组织评标委员会（以下简称评委会）进行评标。</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23.2 评委会由采购人代表和有关技术、经济等方面的专家组成，且人员构成符合政府采购有关规定。</w:t>
      </w:r>
      <w:r/>
    </w:p>
    <w:p>
      <w:pPr>
        <w:ind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1"/>
          <w:highlight w:val="none"/>
        </w:rPr>
        <w:t xml:space="preserve">23.3评委会独立工作，负责评审</w:t>
      </w:r>
      <w:r>
        <w:rPr>
          <w:rFonts w:ascii="仿宋" w:hAnsi="仿宋" w:eastAsia="仿宋" w:cs="仿宋"/>
          <w:color w:val="auto"/>
          <w:sz w:val="24"/>
          <w:szCs w:val="24"/>
          <w:highlight w:val="none"/>
        </w:rPr>
        <w:t xml:space="preserve">所有投标文件并确定中标侯选人。</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24、评标过程的保密与公正</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24.1公开开标后，直至向中标的投标人授予合同时止，凡是与审查、澄清、评价和比较投标的有关资料以及授标建议等，采购人、评委、代理机构均不得向投标人或与评标无关的其他人员透露。</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1"/>
          <w:highlight w:val="none"/>
        </w:rPr>
        <w:t xml:space="preserve">24.2</w:t>
      </w:r>
      <w:r>
        <w:rPr>
          <w:rFonts w:ascii="仿宋" w:hAnsi="仿宋" w:eastAsia="仿宋" w:cs="仿宋"/>
          <w:color w:val="auto"/>
          <w:sz w:val="24"/>
          <w:szCs w:val="24"/>
          <w:highlight w:val="none"/>
        </w:rPr>
        <w:t xml:space="preserve">在评标过程中，投标人不得以任何行为影响评标过程，否则其投标文件将被作为无效投标文件。</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24.3在评标期间，代理机构将设专门人员与投标人联系。</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24.4代理机构和评标委员会不向未中标的投标人解释未中标原因，也不公布评标过程中的相关细节。</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24.5 采用综合评分法的项目，未中标的投标人可于中标结果公告期限届满之日起通过苏采云系统查看自己的评审得分及排序情况。</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25、投标文件的澄清</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投标人的澄清、说明或者补正不得超出投标文件的范围或者改变投标文件的实质性内容。</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评标委员会并非对每个投标人都做澄清要求。</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25.3 接到评委会澄清、说明和补正要求的投标人如未按规定做出澄清、说明和补正，其风险由投标人自行承担。</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26、对投标文件的初审</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26.1</w:t>
      </w:r>
      <w:r>
        <w:rPr>
          <w:rFonts w:ascii="仿宋" w:hAnsi="仿宋" w:eastAsia="仿宋" w:cs="仿宋"/>
          <w:bCs/>
          <w:color w:val="auto"/>
          <w:sz w:val="24"/>
          <w:szCs w:val="21"/>
          <w:highlight w:val="none"/>
        </w:rPr>
        <w:t xml:space="preserve">投标文件初审分为资格审查和符合性审查。</w:t>
      </w:r>
      <w:r/>
    </w:p>
    <w:p>
      <w:pPr>
        <w:ind w:firstLine="48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26.1.1资格审查：依据法律法规和招标文件的规定，由采购人对投标文件中的资格证明文件进行审查。资格审查的结论，采购人以书面形式向评委会进行反馈。</w:t>
      </w:r>
      <w:r/>
    </w:p>
    <w:p>
      <w:pPr>
        <w:ind w:firstLine="48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26.1.3未通过资格审查或符合性审查的投标人，代理机构将在</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1"/>
          <w:highlight w:val="none"/>
        </w:rPr>
        <w:t xml:space="preserve">26.2</w:t>
      </w:r>
      <w:r>
        <w:rPr>
          <w:rFonts w:ascii="仿宋" w:hAnsi="仿宋" w:eastAsia="仿宋" w:cs="仿宋"/>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ascii="仿宋" w:hAnsi="仿宋" w:eastAsia="仿宋" w:cs="仿宋"/>
          <w:bCs/>
          <w:color w:val="auto"/>
          <w:sz w:val="24"/>
          <w:szCs w:val="21"/>
          <w:highlight w:val="none"/>
        </w:rPr>
        <w:t xml:space="preserve">评委决定投标文件的响应性只根据投标文件本身的内容，而不寻求外部的证据。</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26.3</w:t>
      </w:r>
      <w:r>
        <w:rPr>
          <w:rFonts w:ascii="仿宋" w:hAnsi="仿宋" w:eastAsia="仿宋" w:cs="仿宋"/>
          <w:bCs/>
          <w:color w:val="auto"/>
          <w:sz w:val="24"/>
          <w:szCs w:val="21"/>
          <w:highlight w:val="none"/>
        </w:rPr>
        <w:t xml:space="preserve">如果投标文件实质上没有响应招标文件的要求，评委会将按无效响应处理，投标人不得通过修改或撤销不合要求的偏离或保留而使其成为实质性响应的投标。</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26.4</w:t>
      </w:r>
      <w:r>
        <w:rPr>
          <w:rFonts w:ascii="仿宋" w:hAnsi="仿宋" w:eastAsia="仿宋" w:cs="仿宋"/>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（1）投标文件中开标一览表内容与投标文件中相应内容不一致的，以开标一览表为准。</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（2）大写金额和小写金额不一致的，以大写金额为准。</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（3）单价金额小数点或者百分比有明显错位的，以开标一览表的总价为准，并修改单价。</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（4）总价金额与按单价汇总金额不一致的，以单价金额计算结果为准。</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同时出现两种以上错误的，按照前款规定的顺序修正。</w:t>
      </w:r>
      <w:r/>
    </w:p>
    <w:p>
      <w:pPr>
        <w:ind w:firstLine="480"/>
        <w:spacing w:line="400" w:lineRule="exact"/>
        <w:rPr>
          <w:rFonts w:ascii="仿宋" w:hAnsi="仿宋" w:eastAsia="仿宋" w:cs="仿宋"/>
          <w:color w:val="auto"/>
          <w:highlight w:val="none"/>
        </w:rPr>
      </w:pPr>
      <w:r>
        <w:rPr>
          <w:rFonts w:ascii="仿宋" w:hAnsi="仿宋" w:eastAsia="仿宋" w:cs="仿宋"/>
          <w:color w:val="auto"/>
          <w:sz w:val="24"/>
          <w:szCs w:val="21"/>
          <w:highlight w:val="none"/>
        </w:rPr>
        <w:t xml:space="preserve">26.5</w:t>
      </w:r>
      <w:r>
        <w:rPr>
          <w:rFonts w:ascii="仿宋" w:hAnsi="仿宋" w:eastAsia="仿宋" w:cs="仿宋"/>
          <w:bCs/>
          <w:color w:val="auto"/>
          <w:sz w:val="24"/>
          <w:szCs w:val="21"/>
          <w:highlight w:val="none"/>
        </w:rPr>
        <w:t xml:space="preserve">评委会将按上述修正错误的方法调整投标文件中的投标报价，并通过</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告知投标人，调整后的价格应对投标人具有约束力。如果投标人不接受修正后的价格，则其投标将被拒绝。</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26.6评委会将允许修正投标文件中不构成重大偏离的、微小的、非正规的、不一致的或不规则的地方，但这些修改不能影响任何投标人相应的名次排列。</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非单一产品采购项目，招标文件中将载明其中的核心产品。多家投标人提供的核心产品品牌相同的，按前两款规定处理。</w:t>
      </w:r>
      <w:r/>
    </w:p>
    <w:p>
      <w:pPr>
        <w:ind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26.8投标人在开、评标全过程中应保持通讯畅通，及时登录苏采云系统查阅、答复相关信息，并安排专人与代理机构及评标委员会联系。</w:t>
      </w:r>
      <w:r/>
    </w:p>
    <w:p>
      <w:pPr>
        <w:ind w:firstLine="420"/>
        <w:spacing w:line="400" w:lineRule="exact"/>
        <w:rPr>
          <w:rFonts w:ascii="仿宋" w:hAnsi="仿宋" w:eastAsia="仿宋" w:cs="仿宋"/>
          <w:b/>
          <w:bCs/>
          <w:color w:val="auto"/>
          <w:sz w:val="24"/>
          <w:szCs w:val="21"/>
          <w:highlight w:val="none"/>
        </w:rPr>
      </w:pPr>
      <w:r>
        <w:rPr>
          <w:rFonts w:ascii="仿宋" w:hAnsi="仿宋" w:eastAsia="仿宋" w:cs="仿宋"/>
          <w:b/>
          <w:bCs/>
          <w:color w:val="auto"/>
          <w:sz w:val="24"/>
          <w:szCs w:val="21"/>
          <w:highlight w:val="none"/>
        </w:rPr>
        <w:t xml:space="preserve">26.9.异常低价审查</w:t>
      </w:r>
      <w:r/>
    </w:p>
    <w:p>
      <w:pPr>
        <w:ind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w:t>
      </w:r>
      <w:r>
        <w:rPr>
          <w:rFonts w:hint="eastAsia" w:ascii="仿宋" w:hAnsi="仿宋" w:eastAsia="仿宋" w:cs="仿宋"/>
          <w:color w:val="auto"/>
          <w:sz w:val="24"/>
          <w:szCs w:val="21"/>
          <w:highlight w:val="none"/>
        </w:rPr>
        <w:t xml:space="preserve">9</w:t>
      </w:r>
      <w:r>
        <w:rPr>
          <w:rFonts w:ascii="仿宋" w:hAnsi="仿宋" w:eastAsia="仿宋" w:cs="仿宋"/>
          <w:color w:val="auto"/>
          <w:sz w:val="24"/>
          <w:szCs w:val="21"/>
          <w:highlight w:val="none"/>
        </w:rPr>
        <w:t xml:space="preserve">.1评标过程中出现下列情形之一的，评标小组应当启动异常低价投标审查程序：</w:t>
      </w:r>
      <w:r/>
    </w:p>
    <w:p>
      <w:pPr>
        <w:ind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（3）投标（响应）报价低于采购项目最高限价45%的，即投标（响应）报价&lt;采购项目最高限价×45%；</w:t>
      </w:r>
      <w:r/>
    </w:p>
    <w:p>
      <w:pPr>
        <w:ind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（4）评标小组基于专业判断，认为供应商报价过低，有可能影响产品质量或者不能诚信履约的其他情形。</w:t>
      </w:r>
      <w:r/>
    </w:p>
    <w:p>
      <w:pPr>
        <w:ind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26.9.2 </w:t>
      </w:r>
      <w:r>
        <w:rPr>
          <w:rFonts w:hint="eastAsia" w:ascii="仿宋" w:hAnsi="仿宋" w:eastAsia="仿宋" w:cs="仿宋"/>
          <w:color w:val="auto"/>
          <w:sz w:val="24"/>
          <w:szCs w:val="21"/>
          <w:highlight w:val="none"/>
        </w:rPr>
        <w:t xml:space="preserve">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仿宋" w:hAnsi="仿宋" w:eastAsia="仿宋" w:cs="仿宋"/>
          <w:color w:val="auto"/>
          <w:sz w:val="24"/>
          <w:szCs w:val="21"/>
          <w:highlight w:val="none"/>
        </w:rPr>
        <w:t xml:space="preserve">。</w:t>
      </w:r>
      <w:r/>
    </w:p>
    <w:p>
      <w:pPr>
        <w:ind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异常低价投标（响应）审查的启动原因、审查意见和审查结果应当在评审报告中记录，并随供应商提供的相关书面说明及证明材料，以及评标小组有关互联网浏览、查询历史一并归档。</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27、无效投标条款和废标条款</w:t>
      </w:r>
      <w:r/>
    </w:p>
    <w:p>
      <w:pPr>
        <w:ind w:left="479"/>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27.1无效投标条款</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 投标人在“</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”规定的时间内未成功解密电子投标文件的。</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27.1.2 投标人未按照招标文件要求上传电子投标文件的。</w:t>
      </w:r>
      <w:r/>
    </w:p>
    <w:p>
      <w:pPr>
        <w:ind w:left="479"/>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27.1.3 投标</w:t>
      </w:r>
      <w:r>
        <w:rPr>
          <w:rFonts w:ascii="仿宋" w:hAnsi="仿宋" w:eastAsia="仿宋" w:cs="仿宋"/>
          <w:color w:val="auto"/>
          <w:sz w:val="24"/>
          <w:szCs w:val="24"/>
          <w:highlight w:val="none"/>
        </w:rPr>
        <w:t xml:space="preserve">人同一分包提交两</w:t>
      </w:r>
      <w:r>
        <w:rPr>
          <w:rFonts w:ascii="仿宋" w:hAnsi="仿宋" w:eastAsia="仿宋" w:cs="仿宋"/>
          <w:bCs/>
          <w:color w:val="auto"/>
          <w:sz w:val="24"/>
          <w:szCs w:val="21"/>
          <w:highlight w:val="none"/>
        </w:rPr>
        <w:t xml:space="preserve">个（含两个）以上不同的投标报价的。</w:t>
      </w:r>
      <w:r/>
    </w:p>
    <w:p>
      <w:pPr>
        <w:ind w:left="479"/>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27.1.4投标人不具备招标文件中规定资格要求的。</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27.1.5投标人的报价超过了采购预算或最高限价的。</w:t>
      </w:r>
      <w:r/>
    </w:p>
    <w:p>
      <w:pPr>
        <w:ind w:firstLine="480"/>
        <w:spacing w:line="400" w:lineRule="exact"/>
        <w:rPr>
          <w:rFonts w:ascii="仿宋" w:hAnsi="仿宋" w:eastAsia="仿宋" w:cs="仿宋"/>
          <w:bCs/>
          <w:i/>
          <w:color w:val="auto"/>
          <w:sz w:val="24"/>
          <w:szCs w:val="21"/>
          <w:highlight w:val="none"/>
          <w:u w:val="single"/>
        </w:rPr>
      </w:pPr>
      <w:r>
        <w:rPr>
          <w:rFonts w:ascii="仿宋" w:hAnsi="仿宋" w:eastAsia="仿宋" w:cs="仿宋"/>
          <w:bCs/>
          <w:color w:val="auto"/>
          <w:sz w:val="24"/>
          <w:szCs w:val="21"/>
          <w:highlight w:val="none"/>
        </w:rPr>
        <w:t xml:space="preserve">27.1.6未通过符合性审查的。</w:t>
      </w:r>
      <w:r/>
    </w:p>
    <w:p>
      <w:pPr>
        <w:ind w:firstLine="360"/>
        <w:spacing w:line="400" w:lineRule="exact"/>
        <w:rPr>
          <w:rFonts w:ascii="仿宋" w:hAnsi="仿宋" w:eastAsia="仿宋" w:cs="仿宋"/>
          <w:bCs/>
          <w:i/>
          <w:color w:val="auto"/>
          <w:sz w:val="24"/>
          <w:szCs w:val="21"/>
          <w:highlight w:val="none"/>
          <w:u w:val="single"/>
        </w:rPr>
      </w:pPr>
      <w:r>
        <w:rPr>
          <w:rFonts w:ascii="仿宋" w:hAnsi="仿宋" w:eastAsia="仿宋" w:cs="仿宋"/>
          <w:bCs/>
          <w:color w:val="auto"/>
          <w:sz w:val="24"/>
          <w:szCs w:val="21"/>
          <w:highlight w:val="none"/>
        </w:rPr>
        <w:t xml:space="preserve"> 27.1.7不符合招标文件中规定的实质性要求的（</w:t>
      </w:r>
      <w:r>
        <w:rPr>
          <w:rFonts w:ascii="仿宋" w:hAnsi="仿宋" w:eastAsia="仿宋" w:cs="仿宋"/>
          <w:bCs/>
          <w:i/>
          <w:color w:val="auto"/>
          <w:sz w:val="24"/>
          <w:szCs w:val="21"/>
          <w:highlight w:val="none"/>
          <w:u w:val="single"/>
        </w:rPr>
        <w:t xml:space="preserve">本招标文件中斜体且有下划线部分为实质性要求）。</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27.1.9  投标文件含有采购人不能接受的附加条件的。</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27.1.10评标委员会认为投标人的报价明显低于其他通过符合性审查投标人的报价，有可能影响产品质量或者不能诚信履约的，将通过</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27.1.12 投标文件未按照招标文件要求加盖CA电子公章的。</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27.1.13 投标人所投标产品不符合招标文件中所列国家强制性标准的。</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27.1.14不同供应商的响应文件经系统查询Mac地址或标书制作工具客户端标识码一致的（并移送政府采购监管部门进行处理）。</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27.1.15其他法律、法规及本招标文件规定的属无效投标的情形。</w:t>
      </w:r>
      <w:r/>
    </w:p>
    <w:p>
      <w:pPr>
        <w:ind w:left="479"/>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27.2废标条款</w:t>
      </w:r>
      <w:r/>
    </w:p>
    <w:p>
      <w:pPr>
        <w:ind w:left="479"/>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27.2.1符合专业条件的投标人或者对招标文件作实质响应的投标人不足三家的。27.2.2出现影响采购公正的违法、违规行为的。</w:t>
      </w:r>
      <w:r/>
    </w:p>
    <w:p>
      <w:pPr>
        <w:ind w:left="479"/>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27.2.3因重大变故，采购任务取消的。</w:t>
      </w:r>
      <w:r/>
    </w:p>
    <w:p>
      <w:pPr>
        <w:ind w:left="479"/>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27.2.4评标委员会认定招标文件存在歧义、重大缺陷导致评审工作无法进行。</w:t>
      </w:r>
      <w:r/>
    </w:p>
    <w:p>
      <w:pPr>
        <w:ind w:left="479"/>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27.2.5 因</w:t>
      </w:r>
      <w:r>
        <w:rPr>
          <w:rFonts w:ascii="仿宋" w:hAnsi="仿宋" w:eastAsia="仿宋" w:cs="仿宋"/>
          <w:color w:val="auto"/>
          <w:sz w:val="24"/>
          <w:szCs w:val="24"/>
          <w:highlight w:val="none"/>
        </w:rPr>
        <w:t xml:space="preserve">苏采云</w:t>
      </w:r>
      <w:r>
        <w:rPr>
          <w:rFonts w:ascii="仿宋" w:hAnsi="仿宋" w:eastAsia="仿宋" w:cs="仿宋"/>
          <w:bCs/>
          <w:color w:val="auto"/>
          <w:sz w:val="24"/>
          <w:szCs w:val="21"/>
          <w:highlight w:val="none"/>
        </w:rPr>
        <w:t xml:space="preserve">系统故障原因造成开标不成功的。</w:t>
      </w:r>
      <w:r/>
    </w:p>
    <w:p>
      <w:pPr>
        <w:ind w:left="479"/>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27.3 投标截止时间结束后参加投标的供应商不足三家的处理：</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六、定标</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28、确定中标单位</w:t>
      </w:r>
      <w:r/>
    </w:p>
    <w:p>
      <w:pPr>
        <w:ind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28.1中标候选人的选取原则和数量见招标文件第五章规定。</w:t>
      </w:r>
      <w:r/>
    </w:p>
    <w:p>
      <w:pPr>
        <w:ind w:firstLine="480"/>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28.2</w:t>
      </w:r>
      <w:r>
        <w:rPr>
          <w:rFonts w:ascii="仿宋" w:hAnsi="仿宋" w:eastAsia="仿宋" w:cs="仿宋"/>
          <w:bCs/>
          <w:color w:val="auto"/>
          <w:sz w:val="24"/>
          <w:szCs w:val="21"/>
          <w:highlight w:val="none"/>
        </w:rPr>
        <w:t xml:space="preserve">采购人在评标报告确定的中标候选人名单中按顺序确定中标人。</w:t>
      </w:r>
      <w:r/>
    </w:p>
    <w:p>
      <w:pPr>
        <w:ind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28.3</w:t>
      </w:r>
      <w:r>
        <w:rPr>
          <w:rFonts w:ascii="仿宋" w:hAnsi="仿宋" w:eastAsia="仿宋" w:cs="仿宋"/>
          <w:color w:val="auto"/>
          <w:sz w:val="24"/>
          <w:szCs w:val="24"/>
          <w:highlight w:val="none"/>
        </w:rPr>
        <w:t xml:space="preserve">代理机构将在“江苏政府采购网”发布中标公告，公告期限为1个工作日。</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28.4若有充分证据证明，中标人出现下列情况之一的，一经查实，将被取消中标资格：</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28.4.1提供虚假材料谋取中标的。</w:t>
      </w:r>
      <w:r/>
    </w:p>
    <w:p>
      <w:pPr>
        <w:ind w:firstLine="480"/>
        <w:spacing w:line="400" w:lineRule="exact"/>
        <w:rPr>
          <w:rFonts w:ascii="仿宋" w:hAnsi="仿宋" w:eastAsia="仿宋" w:cs="仿宋"/>
          <w:color w:val="auto"/>
          <w:highlight w:val="none"/>
        </w:rPr>
      </w:pPr>
      <w:r>
        <w:rPr>
          <w:rFonts w:ascii="仿宋" w:hAnsi="仿宋" w:eastAsia="仿宋" w:cs="仿宋"/>
          <w:color w:val="auto"/>
          <w:sz w:val="24"/>
          <w:szCs w:val="24"/>
          <w:highlight w:val="none"/>
        </w:rPr>
        <w:t xml:space="preserve">28.4.2向采购人、代理机构行贿或者提供其他不正当利益的。</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28.4.3属于本文件规定的无效条件，但在评标过程中又未被评委会发现的。</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28.4.4与采购人或者其他供应商恶意串通的。</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28.4.5采取不正当手段诋毁、排挤其他供应商的。</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w:t>
      </w:r>
      <w:r>
        <w:rPr>
          <w:rFonts w:ascii="仿宋" w:hAnsi="仿宋" w:eastAsia="仿宋" w:cs="仿宋"/>
          <w:color w:val="auto"/>
          <w:sz w:val="24"/>
          <w:szCs w:val="24"/>
          <w:highlight w:val="none"/>
        </w:rPr>
        <w:t xml:space="preserve">有下列情形之一的，视为投标人串通投标，投标无效：</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28.5.1不同投标人的投标文件由同一单位或者个人编制。</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28.5.2不同投标人委托同一单位或者个人办理投标事宜。</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28.5.3 不同投标人的投标文件载明的项目管理成员或者联系人员为同一人。</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28.5.4不同投标人的投标文件异常一致或者投标报价呈规律性差异。</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29、质疑处理</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代理机构提出质疑。上述应知其权益受到损害之日，是指：</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29.2.1</w:t>
      </w:r>
      <w:r>
        <w:rPr>
          <w:rFonts w:ascii="仿宋" w:hAnsi="仿宋" w:eastAsia="仿宋" w:cs="仿宋"/>
          <w:color w:val="auto"/>
          <w:sz w:val="24"/>
          <w:szCs w:val="24"/>
          <w:highlight w:val="none"/>
        </w:rPr>
        <w:t xml:space="preserve">对可以质疑的采购文件提出质疑的，为收到采购文件之日或者采购文件公告期</w:t>
      </w:r>
      <w:r>
        <w:rPr>
          <w:rFonts w:ascii="仿宋" w:hAnsi="仿宋" w:eastAsia="仿宋" w:cs="仿宋"/>
          <w:color w:val="auto"/>
          <w:sz w:val="24"/>
          <w:szCs w:val="24"/>
          <w:highlight w:val="none"/>
        </w:rPr>
        <w:t xml:space="preserve">限届满之日；</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29.2.2对采购过程提出质疑的，为各采购程序环节结束之日；</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29.2.3对中标或者成交结果提出质疑的，为中标或者成交结果公告期限届满之日。</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29.3质疑函必须按照本招标文件中《质疑函范本》（附件13）要求的格式和内容进行填写。供应商如组成联合体参加投标，则《质疑函范本》中要求签字、盖章、加盖公章之处，联合体各方均须按要求签字、盖章、加盖公章。</w:t>
      </w:r>
      <w:r/>
    </w:p>
    <w:p>
      <w:pPr>
        <w:ind w:firstLine="480"/>
        <w:spacing w:line="400" w:lineRule="exact"/>
        <w:rPr>
          <w:rFonts w:ascii="仿宋" w:hAnsi="仿宋" w:eastAsia="仿宋" w:cs="仿宋"/>
          <w:b/>
          <w:color w:val="auto"/>
          <w:sz w:val="24"/>
          <w:szCs w:val="24"/>
          <w:highlight w:val="none"/>
        </w:rPr>
      </w:pPr>
      <w:r>
        <w:rPr>
          <w:rFonts w:ascii="仿宋" w:hAnsi="仿宋" w:eastAsia="仿宋" w:cs="仿宋"/>
          <w:color w:val="auto"/>
          <w:sz w:val="24"/>
          <w:szCs w:val="24"/>
          <w:highlight w:val="none"/>
        </w:rPr>
        <w:t xml:space="preserve">29.4投标人（含潜在投标人）对采购方式、招标文件中采购需求、供应商资格条件、评标方法和评标标准、合同文本及资格审查结果的询问、质疑请向采购人提出，由采购人负责答复。投标人对其他事项的询问、质疑请向代理机构提出，由代理机构负责答复。</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采购人及代理机构只接收以纸质原件形式送达的质疑,建议投标人尽量通过邮寄方式提交质疑（采购人和代理机构不接受无快递运单号的快递）。</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采购人质疑接收人及联系方式，见本招标文件第一章。</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代理机构质疑受理部门及联系方式，见本招标文件第一章。</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 以下情形的质疑不予受理</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29.5.1内容不符合《政府采购质疑和投诉办法》第十二条规定的质疑。</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29.5.2超出政府采购法定期限的质疑。</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29.5.3以传真、电子邮件等方式递交的非原件形式的质疑。</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29.5.4未参加投标活动的供应商或在投标活动中自身权益未受到损害的供应商所提出的质疑。</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29.5.5供应商组成联合体参加投标，联合体中任何一方或多方未按要求签字、盖章、加盖公章的质疑。</w:t>
      </w:r>
      <w:r/>
    </w:p>
    <w:p>
      <w:pPr>
        <w:ind w:firstLine="468"/>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29.6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30、中标通知书</w:t>
      </w:r>
      <w:r/>
    </w:p>
    <w:p>
      <w:pPr>
        <w:ind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七、授予合同</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31、签订合同</w:t>
      </w:r>
      <w:r/>
    </w:p>
    <w:p>
      <w:pPr>
        <w:ind w:firstLine="600"/>
        <w:spacing w:line="480" w:lineRule="exact"/>
        <w:rPr>
          <w:rFonts w:ascii="仿宋" w:hAnsi="仿宋" w:eastAsia="仿宋" w:cs="仿宋"/>
          <w:b/>
          <w:bCs/>
          <w:color w:val="auto"/>
          <w:sz w:val="24"/>
          <w:szCs w:val="24"/>
          <w:highlight w:val="none"/>
        </w:rPr>
      </w:pPr>
      <w:r>
        <w:rPr>
          <w:rFonts w:ascii="仿宋" w:hAnsi="仿宋" w:eastAsia="仿宋" w:cs="仿宋"/>
          <w:bCs/>
          <w:color w:val="auto"/>
          <w:sz w:val="24"/>
          <w:szCs w:val="24"/>
          <w:highlight w:val="none"/>
        </w:rPr>
        <w:t xml:space="preserve">31</w:t>
      </w:r>
      <w:r>
        <w:rPr>
          <w:rFonts w:ascii="仿宋" w:hAnsi="仿宋" w:eastAsia="仿宋" w:cs="仿宋"/>
          <w:color w:val="auto"/>
          <w:sz w:val="24"/>
          <w:szCs w:val="24"/>
          <w:highlight w:val="none"/>
        </w:rPr>
        <w:t xml:space="preserve">.l中标人应当在中标通知书发出之日起三十日内，按照招标文件确定的事项与采购人签订政府采购合同。</w:t>
      </w:r>
      <w:r>
        <w:rPr>
          <w:rFonts w:ascii="仿宋" w:hAnsi="仿宋" w:eastAsia="仿宋" w:cs="仿宋"/>
          <w:b/>
          <w:bCs/>
          <w:color w:val="auto"/>
          <w:sz w:val="24"/>
          <w:szCs w:val="24"/>
          <w:highlight w:val="none"/>
        </w:rPr>
        <w:t xml:space="preserve">中标</w:t>
      </w:r>
      <w:r>
        <w:rPr>
          <w:rFonts w:ascii="仿宋" w:hAnsi="仿宋" w:eastAsia="仿宋" w:cs="仿宋"/>
          <w:b/>
          <w:bCs/>
          <w:color w:val="auto"/>
          <w:sz w:val="24"/>
          <w:szCs w:val="24"/>
          <w:highlight w:val="none"/>
          <w:lang w:val="zh-CN"/>
        </w:rPr>
        <w:t xml:space="preserve">人应在中标结果公告之日起五个工作日内向</w:t>
      </w:r>
      <w:r>
        <w:rPr>
          <w:rFonts w:ascii="仿宋" w:hAnsi="仿宋" w:eastAsia="仿宋" w:cs="仿宋"/>
          <w:b/>
          <w:bCs/>
          <w:color w:val="auto"/>
          <w:sz w:val="24"/>
          <w:szCs w:val="24"/>
          <w:highlight w:val="none"/>
        </w:rPr>
        <w:t xml:space="preserve">代理机构提供</w:t>
      </w:r>
      <w:r>
        <w:rPr>
          <w:rFonts w:hint="eastAsia" w:ascii="仿宋" w:hAnsi="仿宋" w:eastAsia="仿宋" w:cs="仿宋"/>
          <w:b/>
          <w:bCs/>
          <w:color w:val="auto"/>
          <w:sz w:val="24"/>
          <w:szCs w:val="24"/>
          <w:highlight w:val="none"/>
        </w:rPr>
        <w:t xml:space="preserve">两</w:t>
      </w:r>
      <w:r>
        <w:rPr>
          <w:rFonts w:ascii="仿宋" w:hAnsi="仿宋" w:eastAsia="仿宋" w:cs="仿宋"/>
          <w:b/>
          <w:bCs/>
          <w:color w:val="auto"/>
          <w:sz w:val="24"/>
          <w:szCs w:val="24"/>
          <w:highlight w:val="none"/>
        </w:rPr>
        <w:t xml:space="preserve">份纸质版投标文件</w:t>
      </w:r>
      <w:r>
        <w:rPr>
          <w:rFonts w:ascii="仿宋" w:hAnsi="仿宋" w:eastAsia="仿宋" w:cs="仿宋"/>
          <w:b/>
          <w:bCs/>
          <w:color w:val="auto"/>
          <w:sz w:val="24"/>
          <w:szCs w:val="24"/>
          <w:highlight w:val="none"/>
          <w:lang w:val="zh-CN"/>
        </w:rPr>
        <w:t xml:space="preserve">（须与上传电子档内容一致）</w:t>
      </w:r>
      <w:r>
        <w:rPr>
          <w:rFonts w:ascii="仿宋" w:hAnsi="仿宋" w:eastAsia="仿宋" w:cs="仿宋"/>
          <w:b/>
          <w:bCs/>
          <w:color w:val="auto"/>
          <w:sz w:val="24"/>
          <w:szCs w:val="24"/>
          <w:highlight w:val="none"/>
        </w:rPr>
        <w:t xml:space="preserve">，否则不予签订合同。</w:t>
      </w:r>
      <w:r/>
    </w:p>
    <w:p>
      <w:pPr>
        <w:ind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31.2招标文件、中标人的投标文件及招标过程中有关澄清、承诺文件均应作为合同附件。</w:t>
      </w:r>
      <w:r/>
    </w:p>
    <w:p>
      <w:pPr>
        <w:ind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32、货物（包含与货物相关的服务）的追加、减少和添购。</w:t>
      </w:r>
      <w:r/>
    </w:p>
    <w:p>
      <w:pPr>
        <w:ind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500" w:lineRule="exact"/>
        <w:rPr>
          <w:rFonts w:ascii="仿宋" w:hAnsi="仿宋" w:eastAsia="仿宋" w:cs="仿宋"/>
          <w:b/>
          <w:color w:val="auto"/>
          <w:sz w:val="24"/>
          <w:szCs w:val="24"/>
          <w:highlight w:val="none"/>
        </w:rPr>
      </w:pPr>
      <w:r>
        <w:rPr>
          <w:rFonts w:ascii="仿宋" w:hAnsi="仿宋" w:eastAsia="仿宋" w:cs="仿宋"/>
          <w:color w:val="auto"/>
          <w:sz w:val="24"/>
          <w:szCs w:val="24"/>
          <w:highlight w:val="none"/>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33、政府采购履约资金扶持政策</w:t>
      </w:r>
      <w:r/>
    </w:p>
    <w:p>
      <w:pPr>
        <w:ind w:firstLine="555"/>
        <w:jc w:val="left"/>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555"/>
        <w:jc w:val="left"/>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2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jc w:val="left"/>
        <w:keepNext/>
        <w:rPr>
          <w:rFonts w:ascii="仿宋" w:hAnsi="仿宋" w:eastAsia="仿宋" w:cs="仿宋"/>
          <w:bCs/>
          <w:color w:val="auto"/>
          <w:sz w:val="44"/>
          <w:szCs w:val="28"/>
          <w:highlight w:val="none"/>
        </w:rPr>
      </w:pPr>
      <w:r>
        <w:rPr>
          <w:rFonts w:ascii="仿宋" w:hAnsi="仿宋" w:eastAsia="仿宋" w:cs="仿宋"/>
          <w:bCs/>
          <w:color w:val="auto"/>
          <w:sz w:val="44"/>
          <w:szCs w:val="28"/>
          <w:highlight w:val="none"/>
        </w:rPr>
      </w:r>
      <w:r/>
    </w:p>
    <w:p>
      <w:pPr>
        <w:ind w:firstLine="2640"/>
        <w:jc w:val="left"/>
        <w:keepNext/>
        <w:rPr>
          <w:rFonts w:ascii="仿宋" w:hAnsi="仿宋" w:eastAsia="仿宋" w:cs="仿宋"/>
          <w:bCs/>
          <w:color w:val="auto"/>
          <w:sz w:val="44"/>
          <w:szCs w:val="28"/>
          <w:highlight w:val="none"/>
        </w:rPr>
      </w:pPr>
      <w:r>
        <w:rPr>
          <w:color w:val="auto"/>
          <w:highlight w:val="none"/>
        </w:rPr>
        <w:br w:type="page" w:clear="all"/>
      </w:r>
      <w:r/>
    </w:p>
    <w:p>
      <w:pPr>
        <w:ind w:firstLine="2640"/>
        <w:jc w:val="left"/>
        <w:keepNext/>
        <w:rPr>
          <w:rFonts w:ascii="仿宋" w:hAnsi="仿宋" w:eastAsia="仿宋" w:cs="仿宋"/>
          <w:b/>
          <w:color w:val="auto"/>
          <w:sz w:val="44"/>
          <w:szCs w:val="28"/>
          <w:highlight w:val="none"/>
        </w:rPr>
        <w:outlineLvl w:val="0"/>
      </w:pPr>
      <w:r/>
      <w:bookmarkStart w:id="3" w:name="__RefHeading___Toc15715"/>
      <w:r/>
      <w:bookmarkEnd w:id="3"/>
      <w:r>
        <w:rPr>
          <w:rFonts w:ascii="仿宋" w:hAnsi="仿宋" w:eastAsia="仿宋" w:cs="仿宋"/>
          <w:b/>
          <w:color w:val="auto"/>
          <w:sz w:val="44"/>
          <w:szCs w:val="28"/>
          <w:highlight w:val="none"/>
        </w:rPr>
        <w:t xml:space="preserve">第三章  合同文本</w:t>
      </w:r>
      <w:r/>
    </w:p>
    <w:p>
      <w:pPr>
        <w:ind w:firstLine="480"/>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以下为中标后签定本项目合同的通用条款，中标人不得提出实质性的修改。</w:t>
      </w:r>
      <w:r/>
    </w:p>
    <w:p>
      <w:pPr>
        <w:pStyle w:val="993"/>
        <w:ind w:left="0" w:firstLine="0"/>
        <w:rPr>
          <w:rFonts w:ascii="仿宋" w:hAnsi="仿宋" w:eastAsia="仿宋" w:cs="仿宋"/>
          <w:b/>
          <w:color w:val="auto"/>
          <w:sz w:val="30"/>
          <w:szCs w:val="21"/>
          <w:highlight w:val="none"/>
        </w:rPr>
      </w:pPr>
      <w:r>
        <w:rPr>
          <w:rFonts w:ascii="仿宋" w:hAnsi="仿宋" w:eastAsia="仿宋" w:cs="仿宋"/>
          <w:b/>
          <w:color w:val="auto"/>
          <w:sz w:val="30"/>
          <w:szCs w:val="21"/>
          <w:highlight w:val="none"/>
        </w:rPr>
      </w:r>
      <w:r/>
    </w:p>
    <w:p>
      <w:pPr>
        <w:jc w:val="center"/>
        <w:spacing w:before="145" w:after="145"/>
        <w:rPr>
          <w:rFonts w:ascii="仿宋" w:hAnsi="仿宋" w:eastAsia="仿宋" w:cs="仿宋"/>
          <w:b/>
          <w:bCs/>
          <w:color w:val="auto"/>
          <w:sz w:val="30"/>
          <w:szCs w:val="20"/>
          <w:highlight w:val="none"/>
        </w:rPr>
      </w:pPr>
      <w:r>
        <w:rPr>
          <w:rFonts w:ascii="仿宋" w:hAnsi="仿宋" w:eastAsia="仿宋" w:cs="仿宋"/>
          <w:b/>
          <w:color w:val="auto"/>
          <w:sz w:val="30"/>
          <w:szCs w:val="21"/>
          <w:highlight w:val="none"/>
        </w:rPr>
        <w:t xml:space="preserve">江苏省政府采购合同（货物）（合同编号）</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u w:val="single"/>
        </w:rPr>
        <w:t xml:space="preserve">如东县初中课桌椅更新项目</w:t>
      </w:r>
      <w:r>
        <w:rPr>
          <w:rFonts w:ascii="仿宋" w:hAnsi="仿宋" w:eastAsia="仿宋" w:cs="仿宋"/>
          <w:color w:val="auto"/>
          <w:sz w:val="24"/>
          <w:szCs w:val="24"/>
          <w:highlight w:val="none"/>
        </w:rPr>
        <w:t xml:space="preserve">                   </w:t>
      </w:r>
      <w:r/>
    </w:p>
    <w:p>
      <w:pPr>
        <w:spacing w:before="120" w:after="120"/>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项目编号：</w:t>
      </w:r>
      <w:r>
        <w:rPr>
          <w:rFonts w:ascii="仿宋" w:hAnsi="仿宋" w:eastAsia="仿宋" w:cs="仿宋"/>
          <w:color w:val="auto"/>
          <w:sz w:val="24"/>
          <w:szCs w:val="24"/>
          <w:highlight w:val="none"/>
          <w:u w:val="single"/>
        </w:rPr>
        <w:t xml:space="preserve">***** </w:t>
      </w:r>
      <w:r/>
    </w:p>
    <w:p>
      <w:pPr>
        <w:spacing w:before="120" w:after="1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分包号：</w:t>
      </w:r>
      <w:r>
        <w:rPr>
          <w:rFonts w:hint="eastAsia"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            </w:t>
      </w:r>
      <w:r/>
    </w:p>
    <w:p>
      <w:pPr>
        <w:spacing w:before="120" w:after="120"/>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甲方：（买方）</w:t>
      </w:r>
      <w:r>
        <w:rPr>
          <w:rFonts w:hint="eastAsia" w:ascii="仿宋" w:hAnsi="仿宋" w:eastAsia="仿宋" w:cs="仿宋"/>
          <w:color w:val="auto"/>
          <w:sz w:val="24"/>
          <w:szCs w:val="24"/>
          <w:highlight w:val="none"/>
          <w:u w:val="single"/>
        </w:rPr>
        <w:t xml:space="preserve">如东县教育体育局</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乙方：（卖方）</w:t>
      </w:r>
      <w:r>
        <w:rPr>
          <w:rFonts w:ascii="仿宋" w:hAnsi="仿宋" w:eastAsia="仿宋" w:cs="仿宋"/>
          <w:color w:val="auto"/>
          <w:sz w:val="24"/>
          <w:szCs w:val="24"/>
          <w:highlight w:val="none"/>
          <w:u w:val="single"/>
        </w:rPr>
        <w:t xml:space="preserve">*****</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一、合同内容</w:t>
      </w:r>
      <w:r/>
    </w:p>
    <w:p>
      <w:pPr>
        <w:spacing w:before="120" w:after="120"/>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1.1 标的名称：</w:t>
      </w:r>
      <w:r>
        <w:rPr>
          <w:rFonts w:hint="eastAsia" w:ascii="仿宋" w:hAnsi="仿宋" w:eastAsia="仿宋" w:cs="仿宋"/>
          <w:color w:val="auto"/>
          <w:sz w:val="24"/>
          <w:szCs w:val="24"/>
          <w:highlight w:val="none"/>
          <w:u w:val="single"/>
        </w:rPr>
        <w:t xml:space="preserve">如东县初中课桌椅更新项目</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 标的质量：</w:t>
      </w:r>
      <w:r>
        <w:rPr>
          <w:rFonts w:hint="eastAsia" w:ascii="仿宋" w:hAnsi="仿宋" w:eastAsia="仿宋" w:cs="仿宋"/>
          <w:color w:val="auto"/>
          <w:sz w:val="24"/>
          <w:szCs w:val="24"/>
          <w:highlight w:val="none"/>
          <w:u w:val="single"/>
        </w:rPr>
        <w:t xml:space="preserve">达到招标文件要求</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 标的数量（规模）：</w:t>
      </w:r>
      <w:r>
        <w:rPr>
          <w:rFonts w:hint="eastAsia" w:ascii="仿宋" w:hAnsi="仿宋" w:eastAsia="仿宋" w:cs="仿宋"/>
          <w:color w:val="auto"/>
          <w:sz w:val="24"/>
          <w:szCs w:val="24"/>
          <w:highlight w:val="none"/>
          <w:u w:val="single"/>
        </w:rPr>
        <w:t xml:space="preserve">详见招标文件需求清单</w:t>
      </w:r>
      <w:r/>
    </w:p>
    <w:p>
      <w:pPr>
        <w:spacing w:before="120" w:after="120"/>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1.4 履行时间（期限）：</w:t>
      </w:r>
      <w:r>
        <w:rPr>
          <w:rFonts w:hint="eastAsia" w:ascii="仿宋" w:hAnsi="仿宋" w:eastAsia="仿宋" w:cs="仿宋"/>
          <w:color w:val="auto"/>
          <w:sz w:val="24"/>
          <w:szCs w:val="24"/>
          <w:highlight w:val="none"/>
          <w:u w:val="single"/>
          <w:lang w:val="zh-CN"/>
        </w:rPr>
        <w:t xml:space="preserve">中标供应商须在合同签订后30个日历天内完成整个项目，保证所有午休课桌椅均能正常使用</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1.5 履行地点：</w:t>
      </w:r>
      <w:r>
        <w:rPr>
          <w:rFonts w:hint="eastAsia" w:ascii="仿宋" w:hAnsi="仿宋" w:eastAsia="仿宋" w:cs="仿宋"/>
          <w:color w:val="auto"/>
          <w:sz w:val="24"/>
          <w:szCs w:val="24"/>
          <w:highlight w:val="none"/>
          <w:u w:val="single"/>
        </w:rPr>
        <w:t xml:space="preserve">如东县全县范围（具体各接收单位名单由甲方提供）</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 履行方式：</w:t>
      </w:r>
      <w:r>
        <w:rPr>
          <w:rFonts w:ascii="仿宋" w:hAnsi="仿宋" w:eastAsia="仿宋" w:cs="仿宋"/>
          <w:color w:val="auto"/>
          <w:sz w:val="24"/>
          <w:szCs w:val="24"/>
          <w:highlight w:val="none"/>
          <w:u w:val="single"/>
        </w:rPr>
        <w:t xml:space="preserve">按招标文件执行</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1.7 包装方式：</w:t>
      </w:r>
      <w:r>
        <w:rPr>
          <w:rFonts w:ascii="仿宋" w:hAnsi="仿宋" w:eastAsia="仿宋" w:cs="仿宋"/>
          <w:color w:val="auto"/>
          <w:sz w:val="24"/>
          <w:szCs w:val="24"/>
          <w:highlight w:val="none"/>
          <w:u w:val="single"/>
        </w:rPr>
        <w:t xml:space="preserve">按招标文件执行</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二、合同金额</w:t>
      </w:r>
      <w:r/>
    </w:p>
    <w:p>
      <w:pPr>
        <w:ind w:left="410" w:hanging="410"/>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 本合同金额为（大写）：</w:t>
      </w:r>
      <w:r>
        <w:rPr>
          <w:rFonts w:ascii="仿宋" w:hAnsi="仿宋" w:eastAsia="仿宋" w:cs="仿宋"/>
          <w:color w:val="auto"/>
          <w:sz w:val="24"/>
          <w:szCs w:val="24"/>
          <w:highlight w:val="none"/>
          <w:u w:val="single"/>
        </w:rPr>
        <w:t xml:space="preserve">  *****   </w:t>
      </w:r>
      <w:r>
        <w:rPr>
          <w:rFonts w:ascii="仿宋" w:hAnsi="仿宋" w:eastAsia="仿宋" w:cs="仿宋"/>
          <w:color w:val="auto"/>
          <w:sz w:val="24"/>
          <w:szCs w:val="24"/>
          <w:highlight w:val="none"/>
        </w:rPr>
        <w:t xml:space="preserve">元（</w:t>
      </w:r>
      <w:r>
        <w:rPr>
          <w:rFonts w:ascii="仿宋" w:hAnsi="仿宋" w:eastAsia="仿宋" w:cs="仿宋"/>
          <w:color w:val="auto"/>
          <w:sz w:val="24"/>
          <w:szCs w:val="24"/>
          <w:highlight w:val="none"/>
          <w:u w:val="single"/>
        </w:rPr>
        <w:t xml:space="preserve">  **** </w:t>
      </w:r>
      <w:r>
        <w:rPr>
          <w:rFonts w:ascii="仿宋" w:hAnsi="仿宋" w:eastAsia="仿宋" w:cs="仿宋"/>
          <w:color w:val="auto"/>
          <w:sz w:val="24"/>
          <w:szCs w:val="24"/>
          <w:highlight w:val="none"/>
        </w:rPr>
        <w:t xml:space="preserve">元）人民币或其他币种。</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三、技术资料</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3.1乙方应按招标文件规定的时间向甲方提供使用货物(包含与货物相关的服务)的有关技术资料。</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四、知识产权</w:t>
      </w:r>
      <w:r/>
    </w:p>
    <w:p>
      <w:pPr>
        <w:spacing w:line="0" w:lineRule="atLeast"/>
        <w:rPr>
          <w:rFonts w:ascii="仿宋" w:hAnsi="仿宋" w:eastAsia="仿宋" w:cs="仿宋"/>
          <w:b/>
          <w:color w:val="auto"/>
          <w:sz w:val="24"/>
          <w:szCs w:val="24"/>
          <w:highlight w:val="none"/>
        </w:rPr>
      </w:pPr>
      <w:r>
        <w:rPr>
          <w:rFonts w:ascii="仿宋" w:hAnsi="仿宋" w:eastAsia="仿宋" w:cs="仿宋"/>
          <w:color w:val="auto"/>
          <w:sz w:val="24"/>
          <w:szCs w:val="24"/>
          <w:highlight w:val="none"/>
        </w:rPr>
        <w:t xml:space="preserve">4.1乙</w:t>
      </w:r>
      <w:r>
        <w:rPr>
          <w:rFonts w:ascii="仿宋" w:hAnsi="仿宋" w:eastAsia="仿宋" w:cs="仿宋"/>
          <w:color w:val="auto"/>
          <w:sz w:val="24"/>
          <w:szCs w:val="21"/>
          <w:highlight w:val="none"/>
        </w:rPr>
        <w:t xml:space="preserve">方应保证甲方在使用、接受本合同货物</w:t>
      </w:r>
      <w:r>
        <w:rPr>
          <w:rFonts w:ascii="仿宋" w:hAnsi="仿宋" w:eastAsia="仿宋" w:cs="仿宋"/>
          <w:color w:val="auto"/>
          <w:sz w:val="24"/>
          <w:szCs w:val="24"/>
          <w:highlight w:val="none"/>
        </w:rPr>
        <w:t xml:space="preserve">（包含与货物相关的服务）</w:t>
      </w:r>
      <w:r>
        <w:rPr>
          <w:rFonts w:ascii="仿宋" w:hAnsi="仿宋" w:eastAsia="仿宋" w:cs="仿宋"/>
          <w:color w:val="auto"/>
          <w:sz w:val="24"/>
          <w:szCs w:val="21"/>
          <w:highlight w:val="none"/>
        </w:rPr>
        <w:t xml:space="preserve">或其任何一部分时不受第三方提出侵犯其专利权、版权、商标权和工业设计权等知识产权的起诉。一旦出现侵权，由乙方负全部责任。</w:t>
      </w:r>
      <w:r/>
    </w:p>
    <w:p>
      <w:pPr>
        <w:spacing w:before="120" w:after="120"/>
        <w:rPr>
          <w:rFonts w:ascii="仿宋" w:hAnsi="仿宋" w:eastAsia="仿宋" w:cs="仿宋"/>
          <w:color w:val="auto"/>
          <w:sz w:val="24"/>
          <w:szCs w:val="24"/>
          <w:highlight w:val="none"/>
          <w:u w:val="single"/>
        </w:rPr>
      </w:pPr>
      <w:r>
        <w:rPr>
          <w:rFonts w:ascii="仿宋" w:hAnsi="仿宋" w:eastAsia="仿宋" w:cs="仿宋"/>
          <w:b/>
          <w:color w:val="auto"/>
          <w:sz w:val="24"/>
          <w:szCs w:val="24"/>
          <w:highlight w:val="none"/>
        </w:rPr>
        <w:t xml:space="preserve">五、产权担保</w:t>
      </w:r>
      <w:r/>
    </w:p>
    <w:p>
      <w:pPr>
        <w:spacing w:before="120" w:after="120"/>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5.1 乙方保证所交付的货物（包含与货物相关的服务）的所有权完全属于乙方且无任何抵押、查封等产权瑕疵。</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六、履约保证金</w:t>
      </w:r>
      <w:r/>
    </w:p>
    <w:p>
      <w:pPr>
        <w:spacing w:before="120" w:after="120"/>
        <w:rPr>
          <w:rFonts w:ascii="仿宋" w:hAnsi="仿宋" w:eastAsia="仿宋" w:cs="仿宋"/>
          <w:b/>
          <w:bCs/>
          <w:color w:val="auto"/>
          <w:sz w:val="24"/>
          <w:szCs w:val="24"/>
          <w:highlight w:val="none"/>
        </w:rPr>
      </w:pPr>
      <w:r>
        <w:rPr>
          <w:rFonts w:ascii="仿宋" w:hAnsi="仿宋" w:eastAsia="仿宋" w:cs="仿宋"/>
          <w:color w:val="auto"/>
          <w:sz w:val="24"/>
          <w:szCs w:val="24"/>
          <w:highlight w:val="none"/>
        </w:rPr>
        <w:t xml:space="preserve">6.1 乙方交纳人民币</w:t>
      </w:r>
      <w:r>
        <w:rPr>
          <w:rFonts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各分包中标价的5%</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元作为本合同的履约保证金。</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6.2合同履行结束后，甲方应及时退还交纳的履约保证金。</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6.2.1履约保证金退还方式：</w:t>
      </w:r>
      <w:r>
        <w:rPr>
          <w:rFonts w:ascii="仿宋" w:hAnsi="仿宋" w:eastAsia="仿宋" w:cs="仿宋"/>
          <w:color w:val="auto"/>
          <w:sz w:val="24"/>
          <w:szCs w:val="24"/>
          <w:highlight w:val="none"/>
          <w:u w:val="single"/>
        </w:rPr>
        <w:t xml:space="preserve">根据乙方履约保证金缴纳方式进行退还</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6.2.2履约保证金退还时间：</w:t>
      </w:r>
      <w:r>
        <w:rPr>
          <w:rFonts w:ascii="仿宋" w:hAnsi="仿宋" w:eastAsia="仿宋" w:cs="仿宋"/>
          <w:color w:val="auto"/>
          <w:sz w:val="24"/>
          <w:szCs w:val="24"/>
          <w:highlight w:val="none"/>
          <w:u w:val="single"/>
        </w:rPr>
        <w:t xml:space="preserve">验收合格后无息退还</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6.2.4发生以下情况的，履约保证金不予退还或部分退还：</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6.2.4.1 签订合同后，乙方不履行合同义务的，甲方有权全额扣除履约保证金，全额不予退还，同时甲方亦有权终止合同，乙方还须承担相应的法律赔偿责任。</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6.2.4.2 乙方在履约过程中发生违约行为，给甲方造成损失的，甲方有权在乙方缴纳的履约保证金中予以扣款，以弥补甲方经济损失，不足的部分乙方另外补齐。</w:t>
      </w:r>
      <w:r/>
    </w:p>
    <w:p>
      <w:pPr>
        <w:spacing w:before="145" w:after="145"/>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七、合同转包或分包</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7.1乙方不得将合同标的转包给他人履行。</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7.2乙方不得将合同标的分包给他人履行。</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7.3乙方如有转包或未经甲方同意的分包行为，甲方有权给予终止合同。</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八、合同款项支付</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8.1合同款项的支付方式及进度安排</w:t>
      </w:r>
      <w:r/>
    </w:p>
    <w:p>
      <w:pPr>
        <w:spacing w:before="145" w:after="145"/>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rPr>
        <w:t xml:space="preserve">8.1.1 </w:t>
      </w:r>
      <w:r>
        <w:rPr>
          <w:rFonts w:hint="eastAsia" w:ascii="仿宋" w:hAnsi="仿宋" w:eastAsia="仿宋" w:cs="仿宋"/>
          <w:color w:val="auto"/>
          <w:sz w:val="24"/>
          <w:szCs w:val="24"/>
          <w:highlight w:val="none"/>
          <w:lang w:val="zh-CN"/>
        </w:rPr>
        <w:t xml:space="preserve">当采购标的全部到场且均已制作安装完毕后</w:t>
      </w:r>
      <w:r>
        <w:rPr>
          <w:rFonts w:hint="eastAsia" w:ascii="仿宋" w:hAnsi="仿宋" w:eastAsia="仿宋" w:cs="仿宋"/>
          <w:color w:val="auto"/>
          <w:sz w:val="24"/>
          <w:szCs w:val="24"/>
          <w:highlight w:val="none"/>
          <w:lang w:val="en-US" w:eastAsia="zh-CN"/>
        </w:rPr>
        <w:t xml:space="preserve">付合同价的95%</w:t>
      </w:r>
      <w:r>
        <w:rPr>
          <w:rFonts w:hint="eastAsia" w:ascii="仿宋" w:hAnsi="仿宋" w:eastAsia="仿宋" w:cs="仿宋"/>
          <w:color w:val="auto"/>
          <w:sz w:val="24"/>
          <w:szCs w:val="24"/>
          <w:highlight w:val="none"/>
          <w:lang w:val="zh-CN"/>
        </w:rPr>
        <w:t xml:space="preserve">，经甲方组织验收合格</w:t>
      </w:r>
      <w:r>
        <w:rPr>
          <w:rFonts w:hint="eastAsia" w:ascii="仿宋" w:hAnsi="仿宋" w:eastAsia="仿宋" w:cs="仿宋"/>
          <w:color w:val="auto"/>
          <w:sz w:val="24"/>
          <w:szCs w:val="24"/>
          <w:highlight w:val="none"/>
          <w:lang w:val="en-US" w:eastAsia="zh-CN"/>
        </w:rPr>
        <w:t xml:space="preserve">满一年</w:t>
      </w:r>
      <w:r>
        <w:rPr>
          <w:rFonts w:hint="eastAsia" w:ascii="仿宋" w:hAnsi="仿宋" w:eastAsia="仿宋" w:cs="仿宋"/>
          <w:color w:val="auto"/>
          <w:sz w:val="24"/>
          <w:szCs w:val="24"/>
          <w:highlight w:val="none"/>
          <w:lang w:val="zh-CN"/>
        </w:rPr>
        <w:t xml:space="preserve">后付清合同</w:t>
      </w:r>
      <w:r>
        <w:rPr>
          <w:rFonts w:hint="eastAsia" w:ascii="仿宋" w:hAnsi="仿宋" w:eastAsia="仿宋" w:cs="仿宋"/>
          <w:color w:val="auto"/>
          <w:sz w:val="24"/>
          <w:szCs w:val="24"/>
          <w:highlight w:val="none"/>
          <w:lang w:val="en-US" w:eastAsia="zh-CN"/>
        </w:rPr>
        <w:t xml:space="preserve">余</w:t>
      </w:r>
      <w:r>
        <w:rPr>
          <w:rFonts w:hint="eastAsia" w:ascii="仿宋" w:hAnsi="仿宋" w:eastAsia="仿宋" w:cs="仿宋"/>
          <w:color w:val="auto"/>
          <w:sz w:val="24"/>
          <w:szCs w:val="24"/>
          <w:highlight w:val="none"/>
          <w:lang w:val="zh-CN"/>
        </w:rPr>
        <w:t xml:space="preserve">款。满足合同约定支付条件的，采购人通知</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val="zh-CN"/>
        </w:rPr>
        <w:t xml:space="preserve">供应商开具发票，采购人应在收到发票后10个工作日内将资金支付到中标人账户。</w:t>
      </w:r>
      <w:r/>
    </w:p>
    <w:p>
      <w:pPr>
        <w:spacing w:before="145" w:after="14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8.2当采购数量与实际使用数量不一致时，乙方应根据实际使用量供货，合同的最终结算金额按实际使用量乘以成交单价进行计算</w:t>
      </w:r>
      <w:r>
        <w:rPr>
          <w:rFonts w:ascii="仿宋" w:hAnsi="仿宋" w:eastAsia="仿宋" w:cs="仿宋"/>
          <w:color w:val="auto"/>
          <w:sz w:val="24"/>
          <w:szCs w:val="24"/>
          <w:highlight w:val="none"/>
        </w:rPr>
        <w:t xml:space="preserve">。</w:t>
      </w:r>
      <w:r/>
    </w:p>
    <w:p>
      <w:pPr>
        <w:spacing w:before="145" w:after="145"/>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九、税费</w:t>
      </w:r>
      <w:r/>
    </w:p>
    <w:p>
      <w:pPr>
        <w:spacing w:before="145" w:after="145"/>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9.1本合同执行中相关的一切税费均由乙方负担。</w:t>
      </w:r>
      <w:r/>
    </w:p>
    <w:p>
      <w:pPr>
        <w:spacing w:before="120" w:after="120"/>
        <w:rPr>
          <w:rFonts w:ascii="仿宋" w:hAnsi="仿宋" w:eastAsia="仿宋" w:cs="仿宋"/>
          <w:color w:val="auto"/>
          <w:sz w:val="24"/>
          <w:szCs w:val="24"/>
          <w:highlight w:val="none"/>
        </w:rPr>
      </w:pPr>
      <w:r>
        <w:rPr>
          <w:rFonts w:ascii="仿宋" w:hAnsi="仿宋" w:eastAsia="仿宋" w:cs="仿宋"/>
          <w:b/>
          <w:color w:val="auto"/>
          <w:sz w:val="24"/>
          <w:szCs w:val="24"/>
          <w:highlight w:val="none"/>
        </w:rPr>
        <w:t xml:space="preserve">十、质量保修范围和保修期及售后服务</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10.1 乙方应按招标文件规定的货物性能、技术要求、质量标准向甲方提供未经使用的</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全新产品。</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10.2 乙方提供的货物在质量期内因货物本身的质量问题发生故障，乙方应负责免费更</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换。对达不到技术要求者，根据实际情况，经双方协商，可按以下办法处理：</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⑴更换：由乙方承担所发生的全部费用。</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⑵贬值处理：由甲乙双方合议定价。</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⑶退货处理：乙方应退还甲方支付的合同款，同时应承担该货物的直接费用（运输、保险、检验、货款利息及银行手续费等）。</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10.3 如在使用过程中发生质量问题，乙方在接到甲方通知后在</w:t>
      </w:r>
      <w:r>
        <w:rPr>
          <w:rFonts w:ascii="仿宋" w:hAnsi="仿宋" w:eastAsia="仿宋" w:cs="仿宋"/>
          <w:color w:val="auto"/>
          <w:sz w:val="24"/>
          <w:szCs w:val="24"/>
          <w:highlight w:val="none"/>
          <w:u w:val="single"/>
        </w:rPr>
        <w:t xml:space="preserve"> *** </w:t>
      </w:r>
      <w:r>
        <w:rPr>
          <w:rFonts w:ascii="仿宋" w:hAnsi="仿宋" w:eastAsia="仿宋" w:cs="仿宋"/>
          <w:color w:val="auto"/>
          <w:sz w:val="24"/>
          <w:szCs w:val="24"/>
          <w:highlight w:val="none"/>
        </w:rPr>
        <w:t xml:space="preserve">小时内到达甲方现场。</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10.4 在质保期内，乙方应对货物出现的质量及安全问题负责处理解决并承担一切费用。</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10.5</w:t>
      </w:r>
      <w:r>
        <w:rPr>
          <w:rFonts w:hint="eastAsia" w:ascii="仿宋" w:hAnsi="仿宋" w:eastAsia="仿宋" w:cs="仿宋"/>
          <w:color w:val="auto"/>
          <w:sz w:val="24"/>
          <w:szCs w:val="24"/>
          <w:highlight w:val="none"/>
        </w:rPr>
        <w:t xml:space="preserve">上述的货物免费保修期为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年（自交货验收合格之日起计），因人为因素出现的故障不在免费保修范围内。超过保修期的，终生维修，维修时只收部件成本费</w:t>
      </w:r>
      <w:r>
        <w:rPr>
          <w:rFonts w:ascii="仿宋" w:hAnsi="仿宋" w:eastAsia="仿宋" w:cs="仿宋"/>
          <w:color w:val="auto"/>
          <w:sz w:val="24"/>
          <w:szCs w:val="24"/>
          <w:highlight w:val="none"/>
        </w:rPr>
        <w:t xml:space="preserve">。</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十一、项目验收</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11.1 甲方依法组织履约验收工作。</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11.3 对于实际使用人和甲方分离的项目，甲方邀请实际使用人参与验收。</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11.4 如有必要，甲方邀请参加本项目的其他供应商或第三方专业机构及专家参与验收，相关意见将作为验收书的参考资料。</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十二、货物的包装、发运及运输</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12.1 乙方应在货物发运前对其进行满足运输距离、防潮、防震、防锈和防破损装卸等</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要求包装，以保证货物安全运达甲方指定地点。乙方对货物的包装应符合《商品包装</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政府采购需求标准（试行）》、《快递包装政府采购需求标准（试行）》的规定。</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12.2 使用说明书、质量检验证明书、随配附件和工具以及清单一并附于货物内。</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12.3 乙方在货物发运手续办理完毕后</w:t>
      </w:r>
      <w:r>
        <w:rPr>
          <w:rFonts w:ascii="仿宋" w:hAnsi="仿宋" w:eastAsia="仿宋" w:cs="仿宋"/>
          <w:color w:val="auto"/>
          <w:sz w:val="24"/>
          <w:szCs w:val="24"/>
          <w:highlight w:val="none"/>
          <w:u w:val="single"/>
        </w:rPr>
        <w:t xml:space="preserve">  *****   </w:t>
      </w:r>
      <w:r>
        <w:rPr>
          <w:rFonts w:ascii="仿宋" w:hAnsi="仿宋" w:eastAsia="仿宋" w:cs="仿宋"/>
          <w:color w:val="auto"/>
          <w:sz w:val="24"/>
          <w:szCs w:val="24"/>
          <w:highlight w:val="none"/>
        </w:rPr>
        <w:t xml:space="preserve">小时内或货到甲方</w:t>
      </w:r>
      <w:r>
        <w:rPr>
          <w:rFonts w:ascii="仿宋" w:hAnsi="仿宋" w:eastAsia="仿宋" w:cs="仿宋"/>
          <w:color w:val="auto"/>
          <w:sz w:val="24"/>
          <w:szCs w:val="24"/>
          <w:highlight w:val="none"/>
          <w:u w:val="single"/>
        </w:rPr>
        <w:t xml:space="preserve">  *****   </w:t>
      </w:r>
      <w:r>
        <w:rPr>
          <w:rFonts w:ascii="仿宋" w:hAnsi="仿宋" w:eastAsia="仿宋" w:cs="仿宋"/>
          <w:color w:val="auto"/>
          <w:sz w:val="24"/>
          <w:szCs w:val="24"/>
          <w:highlight w:val="none"/>
        </w:rPr>
        <w:t xml:space="preserve">小时前通知甲方，以准备接货。</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12.4 货物在交付甲方前发生的风险均由乙方负责。</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12.5 货物在规定的交付期限内由乙方送达甲方指定的地点视为交付，乙方同时需通知甲方货物已送达。</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十三、违约责任</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13.1 甲方无正当理由拒收货物的，甲方向乙方偿付拒收货款总值</w:t>
      </w:r>
      <w:r>
        <w:rPr>
          <w:rFonts w:ascii="仿宋" w:hAnsi="仿宋" w:eastAsia="仿宋" w:cs="仿宋"/>
          <w:color w:val="auto"/>
          <w:sz w:val="24"/>
          <w:szCs w:val="24"/>
          <w:highlight w:val="none"/>
          <w:u w:val="single"/>
        </w:rPr>
        <w:t xml:space="preserve">   *****    </w:t>
      </w:r>
      <w:r>
        <w:rPr>
          <w:rFonts w:ascii="仿宋" w:hAnsi="仿宋" w:eastAsia="仿宋" w:cs="仿宋"/>
          <w:color w:val="auto"/>
          <w:sz w:val="24"/>
          <w:szCs w:val="24"/>
          <w:highlight w:val="none"/>
        </w:rPr>
        <w:t xml:space="preserve">的违约金。</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13.2 甲方无故逾期验收和办理货款支付手续的,甲方应按逾期付款总额每日</w:t>
      </w:r>
      <w:r>
        <w:rPr>
          <w:rFonts w:ascii="仿宋" w:hAnsi="仿宋" w:eastAsia="仿宋" w:cs="仿宋"/>
          <w:color w:val="auto"/>
          <w:sz w:val="24"/>
          <w:szCs w:val="24"/>
          <w:highlight w:val="none"/>
          <w:u w:val="single"/>
        </w:rPr>
        <w:t xml:space="preserve">  *****   </w:t>
      </w:r>
      <w:r>
        <w:rPr>
          <w:rFonts w:ascii="仿宋" w:hAnsi="仿宋" w:eastAsia="仿宋" w:cs="仿宋"/>
          <w:color w:val="auto"/>
          <w:sz w:val="24"/>
          <w:szCs w:val="24"/>
          <w:highlight w:val="none"/>
        </w:rPr>
        <w:t xml:space="preserve">向乙方支付违约金。</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13.3 乙方逾期交付货物的，乙方应按逾期交货总额每日</w:t>
      </w:r>
      <w:r>
        <w:rPr>
          <w:rFonts w:ascii="仿宋" w:hAnsi="仿宋" w:eastAsia="仿宋" w:cs="仿宋"/>
          <w:color w:val="auto"/>
          <w:sz w:val="24"/>
          <w:szCs w:val="24"/>
          <w:highlight w:val="none"/>
          <w:u w:val="single"/>
        </w:rPr>
        <w:t xml:space="preserve">  *****   </w:t>
      </w:r>
      <w:r>
        <w:rPr>
          <w:rFonts w:ascii="仿宋" w:hAnsi="仿宋" w:eastAsia="仿宋" w:cs="仿宋"/>
          <w:color w:val="auto"/>
          <w:sz w:val="24"/>
          <w:szCs w:val="24"/>
          <w:highlight w:val="none"/>
        </w:rPr>
        <w:t xml:space="preserve">向甲方支付违约金，由甲方从待付货款中扣除。逾期超过约定日期</w:t>
      </w:r>
      <w:r>
        <w:rPr>
          <w:rFonts w:ascii="仿宋" w:hAnsi="仿宋" w:eastAsia="仿宋" w:cs="仿宋"/>
          <w:color w:val="auto"/>
          <w:sz w:val="24"/>
          <w:szCs w:val="24"/>
          <w:highlight w:val="none"/>
          <w:u w:val="single"/>
        </w:rPr>
        <w:t xml:space="preserve"> ****  </w:t>
      </w:r>
      <w:r>
        <w:rPr>
          <w:rFonts w:ascii="仿宋" w:hAnsi="仿宋" w:eastAsia="仿宋" w:cs="仿宋"/>
          <w:color w:val="auto"/>
          <w:sz w:val="24"/>
          <w:szCs w:val="24"/>
          <w:highlight w:val="none"/>
        </w:rPr>
        <w:t xml:space="preserve">个工作日不能交货的，甲方可解除本合同。乙方因逾期交货或因其他违约行为导致甲方解除合同的，乙方应向甲方支付合同总值</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的违约金，如造成甲方损失超过违约金的，超出部分由乙方继续承担赔偿责任。 </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13.4 乙方所交的货物品种、型号、规格、技术参数、质量不符合合同规定及招标文件</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规定标准的，甲方有权拒收该货物，乙方愿意更换货物但逾期交货的，按乙方逾期交</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货处理。乙方拒绝更换货物的，甲方可单方面解除合同。</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十四、不可抗力事件处理</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14.1 在合同有效期内，任何一方因不可抗力事件导致不能履行合同，则合同履行期可</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延长，其延长期与不可抗力影响期相同。</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14.2 不可抗力事件发生后，应立即通知对方，并寄送有关权威机构出具的证明。</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14.3 不可抗力事件延续</w:t>
      </w:r>
      <w:r>
        <w:rPr>
          <w:rFonts w:ascii="仿宋" w:hAnsi="仿宋" w:eastAsia="仿宋" w:cs="仿宋"/>
          <w:color w:val="auto"/>
          <w:sz w:val="24"/>
          <w:szCs w:val="24"/>
          <w:highlight w:val="none"/>
          <w:u w:val="single"/>
        </w:rPr>
        <w:t xml:space="preserve"> **** </w:t>
      </w:r>
      <w:r>
        <w:rPr>
          <w:rFonts w:ascii="仿宋" w:hAnsi="仿宋" w:eastAsia="仿宋" w:cs="仿宋"/>
          <w:color w:val="auto"/>
          <w:sz w:val="24"/>
          <w:szCs w:val="24"/>
          <w:highlight w:val="none"/>
        </w:rPr>
        <w:t xml:space="preserve">天以上，双方应通过友好协商，确定是否继续履行合同。</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十五、解决争议的方法</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15.1甲乙双方因合同签订、履行而发生的一切争议，应通过友好协商解决。如协商不</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成由甲方住所地人民法院管辖。</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十六、合同生效及其它</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16.1 合同经双方法定代表人或授权委托代表人签字并加盖单位公章后生效。</w:t>
      </w:r>
      <w:r/>
    </w:p>
    <w:p>
      <w:pPr>
        <w:ind w:left="480" w:hanging="480"/>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16.2 本合同未尽事宜，遵照中华人民共和国现行法律法规有关条文执行。</w:t>
      </w:r>
      <w:r/>
    </w:p>
    <w:p>
      <w:pPr>
        <w:ind w:left="480" w:hanging="480"/>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16.3 本合同正本一式</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份，具有同等法律效力。</w:t>
      </w:r>
      <w:r/>
    </w:p>
    <w:p>
      <w:pPr>
        <w:ind w:left="480" w:hanging="480"/>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甲方：                        乙方： </w:t>
      </w:r>
      <w:r/>
    </w:p>
    <w:p>
      <w:pP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地址：                        地址： </w:t>
      </w:r>
      <w:r/>
    </w:p>
    <w:p>
      <w:pP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法定代表人或授权代表：        法定代表人或授权代表：</w:t>
      </w:r>
      <w:r/>
    </w:p>
    <w:p>
      <w:pPr>
        <w:ind w:firstLine="240"/>
        <w:spacing w:before="120" w:after="120" w:line="0" w:lineRule="atLeast"/>
        <w:rPr>
          <w:rFonts w:ascii="仿宋" w:hAnsi="仿宋" w:eastAsia="仿宋" w:cs="仿宋"/>
          <w:color w:val="auto"/>
          <w:szCs w:val="21"/>
          <w:highlight w:val="none"/>
        </w:rPr>
      </w:pPr>
      <w:r>
        <w:rPr>
          <w:rFonts w:ascii="仿宋" w:hAnsi="仿宋" w:eastAsia="仿宋" w:cs="仿宋"/>
          <w:color w:val="auto"/>
          <w:sz w:val="24"/>
          <w:szCs w:val="24"/>
          <w:highlight w:val="none"/>
        </w:rPr>
        <w:t xml:space="preserve">联系电话：                    联系电话：          </w:t>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Cs w:val="21"/>
          <w:highlight w:val="none"/>
        </w:rPr>
        <w:t xml:space="preserve">                 </w:t>
      </w:r>
      <w:r>
        <w:rPr>
          <w:rFonts w:ascii="仿宋" w:hAnsi="仿宋" w:eastAsia="仿宋" w:cs="仿宋"/>
          <w:color w:val="auto"/>
          <w:sz w:val="24"/>
          <w:szCs w:val="24"/>
          <w:highlight w:val="none"/>
        </w:rPr>
        <w:t xml:space="preserve">   </w:t>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签订日期：</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rPr>
        <w:t xml:space="preserve">年</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rPr>
        <w:t xml:space="preserve">月</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rPr>
        <w:t xml:space="preserve">日</w:t>
      </w:r>
      <w:r/>
    </w:p>
    <w:p>
      <w:pPr>
        <w:jc w:val="center"/>
        <w:spacing w:before="120" w:after="120" w:line="0" w:lineRule="atLeast"/>
        <w:rPr>
          <w:rFonts w:ascii="仿宋" w:hAnsi="仿宋" w:eastAsia="仿宋" w:cs="仿宋"/>
          <w:color w:val="auto"/>
          <w:sz w:val="24"/>
          <w:szCs w:val="24"/>
          <w:highlight w:val="none"/>
        </w:rPr>
      </w:pPr>
      <w:r>
        <w:rPr>
          <w:color w:val="auto"/>
          <w:highlight w:val="none"/>
        </w:rPr>
        <w:br w:type="page" w:clear="all"/>
      </w:r>
      <w:r/>
    </w:p>
    <w:p>
      <w:pPr>
        <w:jc w:val="center"/>
        <w:spacing w:before="120" w:after="120" w:line="0" w:lineRule="atLeast"/>
        <w:rPr>
          <w:rFonts w:ascii="仿宋" w:hAnsi="仿宋" w:eastAsia="仿宋" w:cs="仿宋"/>
          <w:color w:val="auto"/>
          <w:sz w:val="24"/>
          <w:szCs w:val="24"/>
          <w:highlight w:val="none"/>
        </w:rPr>
        <w:outlineLvl w:val="0"/>
      </w:pPr>
      <w:r/>
      <w:bookmarkStart w:id="4" w:name="__RefHeading___Toc26382"/>
      <w:r/>
      <w:bookmarkEnd w:id="4"/>
      <w:r>
        <w:rPr>
          <w:rFonts w:ascii="仿宋" w:hAnsi="仿宋" w:eastAsia="仿宋" w:cs="仿宋"/>
          <w:b/>
          <w:color w:val="auto"/>
          <w:sz w:val="44"/>
          <w:szCs w:val="21"/>
          <w:highlight w:val="none"/>
        </w:rPr>
        <w:t xml:space="preserve">第四章 采购需求</w:t>
      </w:r>
      <w:r/>
    </w:p>
    <w:p>
      <w:pPr>
        <w:ind w:firstLine="561"/>
        <w:spacing w:line="40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投标人在制作投标文件时仔细研究项目需求说明。项目需求包括技术要求和商务要求:</w:t>
      </w:r>
      <w:r/>
    </w:p>
    <w:p>
      <w:pPr>
        <w:ind w:firstLine="561"/>
        <w:spacing w:line="40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技术要求是指对采购标的功能和质量要求，包括性能、材料、结构、外观、安全，或者服务内容和标准等,</w:t>
      </w:r>
      <w:r>
        <w:rPr>
          <w:rFonts w:ascii="仿宋" w:hAnsi="仿宋" w:eastAsia="仿宋" w:cs="仿宋"/>
          <w:b/>
          <w:i/>
          <w:iCs/>
          <w:color w:val="auto"/>
          <w:sz w:val="28"/>
          <w:szCs w:val="28"/>
          <w:highlight w:val="none"/>
          <w:u w:val="single"/>
        </w:rPr>
        <w:t xml:space="preserve">其中必须满足的实质性要求加斜体下划线。</w:t>
      </w:r>
      <w:r/>
    </w:p>
    <w:p>
      <w:pPr>
        <w:ind w:firstLine="561"/>
        <w:spacing w:line="400" w:lineRule="exact"/>
        <w:rPr>
          <w:rFonts w:ascii="仿宋" w:hAnsi="仿宋" w:eastAsia="仿宋" w:cs="仿宋"/>
          <w:bCs/>
          <w:color w:val="auto"/>
          <w:sz w:val="24"/>
          <w:szCs w:val="24"/>
          <w:highlight w:val="none"/>
        </w:rPr>
      </w:pPr>
      <w:r>
        <w:rPr>
          <w:rFonts w:ascii="仿宋" w:hAnsi="仿宋" w:eastAsia="仿宋" w:cs="仿宋"/>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rPr>
          <w:rFonts w:ascii="仿宋" w:hAnsi="仿宋" w:eastAsia="仿宋" w:cs="仿宋"/>
          <w:b/>
          <w:i/>
          <w:iCs/>
          <w:color w:val="auto"/>
          <w:sz w:val="28"/>
          <w:szCs w:val="28"/>
          <w:highlight w:val="none"/>
          <w:u w:val="single"/>
        </w:rPr>
        <w:t xml:space="preserve">其中必须满足的实质性要求加斜体下划线。</w:t>
      </w:r>
      <w:r/>
    </w:p>
    <w:p>
      <w:pPr>
        <w:spacing w:line="500" w:lineRule="exact"/>
        <w:rPr>
          <w:rFonts w:ascii="仿宋" w:hAnsi="仿宋" w:eastAsia="仿宋" w:cs="仿宋"/>
          <w:color w:val="auto"/>
          <w:sz w:val="24"/>
          <w:szCs w:val="24"/>
          <w:highlight w:val="none"/>
        </w:rPr>
      </w:pPr>
      <w:r>
        <w:rPr>
          <w:rFonts w:ascii="仿宋" w:hAnsi="仿宋" w:eastAsia="仿宋" w:cs="仿宋"/>
          <w:b/>
          <w:bCs/>
          <w:color w:val="auto"/>
          <w:sz w:val="24"/>
          <w:szCs w:val="24"/>
          <w:highlight w:val="none"/>
        </w:rPr>
        <w:t xml:space="preserve">一、其内容包含：</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（一）采购标的需实现的功能或者目标，以及为落实政府采购政策需满足的要求；</w:t>
      </w:r>
      <w:r/>
    </w:p>
    <w:p>
      <w:pPr>
        <w:ind w:firstLine="480"/>
        <w:spacing w:line="400" w:lineRule="exact"/>
        <w:rPr>
          <w:rFonts w:ascii="仿宋" w:hAnsi="仿宋" w:eastAsia="仿宋" w:cs="仿宋"/>
          <w:color w:val="auto"/>
          <w:sz w:val="24"/>
          <w:szCs w:val="24"/>
          <w:highlight w:val="none"/>
        </w:rPr>
      </w:pPr>
      <w:r>
        <w:rPr>
          <w:rFonts w:hint="eastAsia" w:ascii="宋体" w:hAnsi="宋体" w:cs="宋体"/>
          <w:bCs/>
          <w:color w:val="auto"/>
          <w:sz w:val="24"/>
          <w:szCs w:val="24"/>
          <w:highlight w:val="none"/>
        </w:rPr>
        <w:t xml:space="preserve">完成全县初中午休课桌椅的采购，包括原课桌椅搬运至学校指定点码放，新课桌椅上楼的搬运、安装、调试</w:t>
      </w:r>
      <w:r>
        <w:rPr>
          <w:rFonts w:ascii="宋体" w:hAnsi="宋体" w:cs="宋体"/>
          <w:bCs/>
          <w:color w:val="auto"/>
          <w:sz w:val="24"/>
          <w:szCs w:val="24"/>
          <w:highlight w:val="none"/>
        </w:rPr>
        <w:t xml:space="preserve">。</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（二）采购标的需执行的国家相关标准、行业标准、地方标准或者其他标准、规范；</w:t>
      </w:r>
      <w:r/>
    </w:p>
    <w:p>
      <w:pPr>
        <w:ind w:firstLine="48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 18584-2024《家具中有害物质限量》</w:t>
      </w:r>
      <w:r/>
    </w:p>
    <w:p>
      <w:pPr>
        <w:ind w:firstLine="48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 28008-2024《家具结构安全技术规范》</w:t>
      </w:r>
      <w:r/>
    </w:p>
    <w:p>
      <w:pPr>
        <w:ind w:firstLine="48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GB/T 46016-2025 《中小学生午休课桌椅通用技术要求》</w:t>
      </w:r>
      <w:r/>
    </w:p>
    <w:p>
      <w:pPr>
        <w:ind w:firstLine="48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QB/T 4071-2021 《课桌椅》</w:t>
      </w:r>
      <w:r/>
    </w:p>
    <w:p>
      <w:pPr>
        <w:ind w:firstLine="48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GB/T 43002-2023《儿童家具质量检验及质量判定》</w:t>
      </w:r>
      <w:r/>
    </w:p>
    <w:p>
      <w:pPr>
        <w:ind w:firstLine="48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GB/T 32487—2016《塑料家具通用技术条件》</w:t>
      </w:r>
      <w:r/>
    </w:p>
    <w:p>
      <w:pPr>
        <w:ind w:firstLine="48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QB/T 4767-2014《家具用钢构件》</w:t>
      </w:r>
      <w:r/>
    </w:p>
    <w:p>
      <w:pPr>
        <w:ind w:firstLine="48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如上述规范及规定不能覆盖全部的工作内容，则应遵循国家相关的最新规范及规定。</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（三）采购标的需满足的质量、安全、技术规格、物理特性等要求；</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货物要求</w:t>
      </w:r>
      <w:r/>
    </w:p>
    <w:tbl>
      <w:tblPr>
        <w:tblStyle w:val="912"/>
        <w:tblW w:w="9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00"/>
        <w:gridCol w:w="1412"/>
        <w:gridCol w:w="6426"/>
      </w:tblGrid>
      <w:tr>
        <w:trPr>
          <w:jc w:val="center"/>
          <w:trHeight w:val="472"/>
        </w:trPr>
        <w:tc>
          <w:tcPr>
            <w:tcW w:w="747" w:type="dxa"/>
            <w:vAlign w:val="center"/>
            <w:textDirection w:val="lrTb"/>
            <w:noWrap w:val="false"/>
          </w:tcPr>
          <w:p>
            <w:pPr>
              <w:jc w:val="center"/>
              <w:spacing w:line="32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序号</w:t>
            </w:r>
            <w:r/>
          </w:p>
        </w:tc>
        <w:tc>
          <w:tcPr>
            <w:tcW w:w="800" w:type="dxa"/>
            <w:vAlign w:val="center"/>
            <w:textDirection w:val="lrTb"/>
            <w:noWrap w:val="false"/>
          </w:tcPr>
          <w:p>
            <w:pPr>
              <w:jc w:val="center"/>
              <w:spacing w:line="32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名称</w:t>
            </w:r>
            <w:r/>
          </w:p>
        </w:tc>
        <w:tc>
          <w:tcPr>
            <w:tcW w:w="1412" w:type="dxa"/>
            <w:vAlign w:val="center"/>
            <w:textDirection w:val="lrTb"/>
            <w:noWrap w:val="false"/>
          </w:tcPr>
          <w:p>
            <w:pPr>
              <w:jc w:val="center"/>
              <w:spacing w:line="32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规格</w:t>
            </w:r>
            <w:r/>
          </w:p>
        </w:tc>
        <w:tc>
          <w:tcPr>
            <w:tcW w:w="6426" w:type="dxa"/>
            <w:vAlign w:val="center"/>
            <w:textDirection w:val="lrTb"/>
            <w:noWrap w:val="false"/>
          </w:tcPr>
          <w:p>
            <w:pPr>
              <w:ind w:firstLine="442"/>
              <w:jc w:val="center"/>
              <w:spacing w:line="32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技术参数</w:t>
            </w:r>
            <w:r/>
          </w:p>
        </w:tc>
      </w:tr>
      <w:tr>
        <w:trPr>
          <w:jc w:val="center"/>
          <w:trHeight w:val="629"/>
        </w:trPr>
        <w:tc>
          <w:tcPr>
            <w:tcW w:w="747" w:type="dxa"/>
            <w:vAlign w:val="center"/>
            <w:textDirection w:val="lrTb"/>
            <w:noWrap w:val="false"/>
          </w:tcPr>
          <w:p>
            <w:pPr>
              <w:jc w:val="center"/>
              <w:spacing w:line="32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800" w:type="dxa"/>
            <w:vAlign w:val="center"/>
            <w:textDirection w:val="lrTb"/>
            <w:noWrap w:val="false"/>
          </w:tcPr>
          <w:p>
            <w:pPr>
              <w:jc w:val="center"/>
              <w:spacing w:line="32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午休课桌</w:t>
            </w:r>
            <w:r/>
          </w:p>
        </w:tc>
        <w:tc>
          <w:tcPr>
            <w:tcW w:w="1412" w:type="dxa"/>
            <w:vAlign w:val="center"/>
            <w:textDirection w:val="lrTb"/>
            <w:noWrap w:val="false"/>
          </w:tcPr>
          <w:p>
            <w:pPr>
              <w:jc w:val="center"/>
              <w:spacing w:line="32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w:t>
            </w:r>
            <w:r/>
          </w:p>
          <w:p>
            <w:pPr>
              <w:jc w:val="center"/>
              <w:spacing w:line="32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bidi="zh-CN"/>
              </w:rPr>
              <w:t xml:space="preserve">≥</w:t>
            </w:r>
            <w:r>
              <w:rPr>
                <w:rFonts w:hint="eastAsia" w:ascii="仿宋" w:hAnsi="仿宋" w:eastAsia="仿宋" w:cs="仿宋"/>
                <w:color w:val="auto"/>
                <w:sz w:val="24"/>
                <w:szCs w:val="24"/>
                <w:highlight w:val="none"/>
              </w:rPr>
              <w:t xml:space="preserve">650mm×450mm×640mm-760mm（高度可升降调节）</w:t>
            </w:r>
            <w:r/>
          </w:p>
        </w:tc>
        <w:tc>
          <w:tcPr>
            <w:tcW w:w="6426" w:type="dxa"/>
            <w:vAlign w:val="center"/>
            <w:textDirection w:val="lrTb"/>
            <w:noWrap w:val="false"/>
          </w:tcPr>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1.</w:t>
            </w:r>
            <w:r>
              <w:rPr>
                <w:rFonts w:hint="eastAsia" w:ascii="仿宋" w:hAnsi="仿宋" w:eastAsia="仿宋" w:cs="仿宋"/>
                <w:color w:val="auto"/>
                <w:sz w:val="24"/>
                <w:szCs w:val="24"/>
                <w:highlight w:val="none"/>
                <w:lang w:val="zh-CN" w:bidi="zh-CN"/>
              </w:rPr>
              <w:t xml:space="preserve">课桌规格：课桌具备升降功能，配手摇升降器，课桌高度可根据学生身高适度调整（</w:t>
            </w:r>
            <w:r>
              <w:rPr>
                <w:rFonts w:hint="eastAsia" w:ascii="仿宋" w:hAnsi="仿宋" w:eastAsia="仿宋" w:cs="仿宋"/>
                <w:color w:val="auto"/>
                <w:sz w:val="24"/>
                <w:szCs w:val="24"/>
                <w:highlight w:val="none"/>
                <w:lang w:bidi="zh-CN"/>
              </w:rPr>
              <w:t xml:space="preserve">通过手摇机构实现升降调节</w:t>
            </w:r>
            <w:r>
              <w:rPr>
                <w:rFonts w:hint="eastAsia" w:ascii="仿宋" w:hAnsi="仿宋" w:eastAsia="仿宋" w:cs="仿宋"/>
                <w:color w:val="auto"/>
                <w:sz w:val="24"/>
                <w:szCs w:val="24"/>
                <w:highlight w:val="none"/>
                <w:lang w:val="zh-CN" w:bidi="zh-CN"/>
              </w:rPr>
              <w:t xml:space="preserve">）。</w:t>
            </w:r>
            <w:r>
              <w:rPr>
                <w:rFonts w:hint="eastAsia" w:ascii="仿宋" w:hAnsi="仿宋" w:eastAsia="仿宋" w:cs="仿宋"/>
                <w:color w:val="auto"/>
                <w:sz w:val="24"/>
                <w:szCs w:val="24"/>
                <w:highlight w:val="none"/>
                <w:lang w:bidi="zh-CN"/>
              </w:rPr>
              <w:t xml:space="preserve">根据实地学生身高调研，要求</w:t>
            </w:r>
            <w:r>
              <w:rPr>
                <w:rFonts w:hint="eastAsia" w:ascii="仿宋" w:hAnsi="仿宋" w:eastAsia="仿宋" w:cs="仿宋"/>
                <w:color w:val="auto"/>
                <w:sz w:val="24"/>
                <w:szCs w:val="24"/>
                <w:highlight w:val="none"/>
                <w:lang w:val="zh-CN" w:bidi="zh-CN"/>
              </w:rPr>
              <w:t xml:space="preserve">桌面离地可调节高度范围：</w:t>
            </w:r>
            <w:r>
              <w:rPr>
                <w:rFonts w:hint="eastAsia" w:ascii="仿宋" w:hAnsi="仿宋" w:eastAsia="仿宋" w:cs="仿宋"/>
                <w:color w:val="auto"/>
                <w:sz w:val="24"/>
                <w:szCs w:val="24"/>
                <w:highlight w:val="none"/>
                <w:lang w:bidi="zh-CN"/>
              </w:rPr>
              <w:t xml:space="preserve">640</w:t>
            </w:r>
            <w:r>
              <w:rPr>
                <w:rFonts w:hint="eastAsia" w:ascii="仿宋" w:hAnsi="仿宋" w:eastAsia="仿宋" w:cs="仿宋"/>
                <w:color w:val="auto"/>
                <w:sz w:val="24"/>
                <w:szCs w:val="24"/>
                <w:highlight w:val="none"/>
                <w:lang w:val="zh-CN" w:bidi="zh-CN"/>
              </w:rPr>
              <w:t xml:space="preserve">mm-</w:t>
            </w:r>
            <w:r>
              <w:rPr>
                <w:rFonts w:hint="eastAsia" w:ascii="仿宋" w:hAnsi="仿宋" w:eastAsia="仿宋" w:cs="仿宋"/>
                <w:color w:val="auto"/>
                <w:sz w:val="24"/>
                <w:szCs w:val="24"/>
                <w:highlight w:val="none"/>
                <w:lang w:bidi="zh-CN"/>
              </w:rPr>
              <w:t xml:space="preserve">76</w:t>
            </w:r>
            <w:r>
              <w:rPr>
                <w:rFonts w:hint="eastAsia" w:ascii="仿宋" w:hAnsi="仿宋" w:eastAsia="仿宋" w:cs="仿宋"/>
                <w:color w:val="auto"/>
                <w:sz w:val="24"/>
                <w:szCs w:val="24"/>
                <w:highlight w:val="none"/>
                <w:lang w:val="zh-CN" w:bidi="zh-CN"/>
              </w:rPr>
              <w:t xml:space="preserve">0mm（公差±5mm）；</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2.</w:t>
            </w:r>
            <w:r>
              <w:rPr>
                <w:rFonts w:hint="eastAsia" w:ascii="仿宋" w:hAnsi="仿宋" w:eastAsia="仿宋" w:cs="仿宋"/>
                <w:color w:val="auto"/>
                <w:sz w:val="24"/>
                <w:szCs w:val="24"/>
                <w:highlight w:val="none"/>
                <w:lang w:val="zh-CN" w:bidi="zh-CN"/>
              </w:rPr>
              <w:t xml:space="preserve">桌面：桌面规格：≥长6</w:t>
            </w:r>
            <w:r>
              <w:rPr>
                <w:rFonts w:hint="eastAsia" w:ascii="仿宋" w:hAnsi="仿宋" w:eastAsia="仿宋" w:cs="仿宋"/>
                <w:color w:val="auto"/>
                <w:sz w:val="24"/>
                <w:szCs w:val="24"/>
                <w:highlight w:val="none"/>
                <w:lang w:bidi="zh-CN"/>
              </w:rPr>
              <w:t xml:space="preserve">5</w:t>
            </w:r>
            <w:r>
              <w:rPr>
                <w:rFonts w:hint="eastAsia" w:ascii="仿宋" w:hAnsi="仿宋" w:eastAsia="仿宋" w:cs="仿宋"/>
                <w:color w:val="auto"/>
                <w:sz w:val="24"/>
                <w:szCs w:val="24"/>
                <w:highlight w:val="none"/>
                <w:lang w:val="zh-CN" w:bidi="zh-CN"/>
              </w:rPr>
              <w:t xml:space="preserve">0mm×宽450mm（公差±5mm），</w:t>
            </w:r>
            <w:r>
              <w:rPr>
                <w:rFonts w:hint="eastAsia" w:ascii="仿宋" w:hAnsi="仿宋" w:eastAsia="仿宋" w:cs="仿宋"/>
                <w:color w:val="auto"/>
                <w:sz w:val="24"/>
                <w:szCs w:val="24"/>
                <w:highlight w:val="none"/>
                <w:lang w:bidi="zh-CN"/>
              </w:rPr>
              <w:t xml:space="preserve">桌面</w:t>
            </w:r>
            <w:r>
              <w:rPr>
                <w:rFonts w:hint="eastAsia" w:ascii="仿宋" w:hAnsi="仿宋" w:eastAsia="仿宋" w:cs="仿宋"/>
                <w:color w:val="auto"/>
                <w:sz w:val="24"/>
                <w:szCs w:val="24"/>
                <w:highlight w:val="none"/>
                <w:lang w:val="zh-CN" w:bidi="zh-CN"/>
              </w:rPr>
              <w:t xml:space="preserve">厚</w:t>
            </w:r>
            <w:r>
              <w:rPr>
                <w:rFonts w:hint="eastAsia" w:ascii="仿宋" w:hAnsi="仿宋" w:eastAsia="仿宋" w:cs="仿宋"/>
                <w:color w:val="auto"/>
                <w:sz w:val="24"/>
                <w:szCs w:val="24"/>
                <w:highlight w:val="none"/>
                <w:lang w:bidi="zh-CN"/>
              </w:rPr>
              <w:t xml:space="preserve">度</w:t>
            </w:r>
            <w:r>
              <w:rPr>
                <w:rFonts w:hint="eastAsia" w:ascii="仿宋" w:hAnsi="仿宋" w:eastAsia="仿宋" w:cs="仿宋"/>
                <w:color w:val="auto"/>
                <w:sz w:val="24"/>
                <w:szCs w:val="24"/>
                <w:highlight w:val="none"/>
                <w:lang w:val="zh-CN" w:bidi="zh-CN"/>
              </w:rPr>
              <w:t xml:space="preserve">≥</w:t>
            </w:r>
            <w:r>
              <w:rPr>
                <w:rFonts w:hint="eastAsia" w:ascii="仿宋" w:hAnsi="仿宋" w:eastAsia="仿宋" w:cs="仿宋"/>
                <w:color w:val="auto"/>
                <w:sz w:val="24"/>
                <w:szCs w:val="24"/>
                <w:highlight w:val="none"/>
                <w:lang w:bidi="zh-CN"/>
              </w:rPr>
              <w:t xml:space="preserve">25</w:t>
            </w:r>
            <w:r>
              <w:rPr>
                <w:rFonts w:hint="eastAsia" w:ascii="仿宋" w:hAnsi="仿宋" w:eastAsia="仿宋" w:cs="仿宋"/>
                <w:color w:val="auto"/>
                <w:sz w:val="24"/>
                <w:szCs w:val="24"/>
                <w:highlight w:val="none"/>
                <w:lang w:val="zh-CN" w:bidi="zh-CN"/>
              </w:rPr>
              <w:t xml:space="preserve">mm ，采用ABS耐冲击塑料一级新料一体注塑成型，桌面底部设置1条规格≥540mm×20mm×1.2mm的加强钢管。桌面具备防污、耐划痕性能。</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3.</w:t>
            </w:r>
            <w:r>
              <w:rPr>
                <w:rFonts w:hint="eastAsia" w:ascii="仿宋" w:hAnsi="仿宋" w:eastAsia="仿宋" w:cs="仿宋"/>
                <w:color w:val="auto"/>
                <w:sz w:val="24"/>
                <w:szCs w:val="24"/>
                <w:highlight w:val="none"/>
                <w:lang w:val="zh-CN" w:bidi="zh-CN"/>
              </w:rPr>
              <w:t xml:space="preserve">桌斗：采用环保PP塑料一级新料一体注塑成型，抗压，耐磨，耐冲击，强韧，不脆裂。桌斗外形尺寸≥长</w:t>
            </w:r>
            <w:r>
              <w:rPr>
                <w:rFonts w:hint="eastAsia" w:ascii="仿宋" w:hAnsi="仿宋" w:eastAsia="仿宋" w:cs="仿宋"/>
                <w:color w:val="auto"/>
                <w:sz w:val="24"/>
                <w:szCs w:val="24"/>
                <w:highlight w:val="none"/>
                <w:lang w:bidi="zh-CN"/>
              </w:rPr>
              <w:t xml:space="preserve">52</w:t>
            </w:r>
            <w:r>
              <w:rPr>
                <w:rFonts w:hint="eastAsia" w:ascii="仿宋" w:hAnsi="仿宋" w:eastAsia="仿宋" w:cs="仿宋"/>
                <w:color w:val="auto"/>
                <w:sz w:val="24"/>
                <w:szCs w:val="24"/>
                <w:highlight w:val="none"/>
                <w:lang w:val="zh-CN" w:bidi="zh-CN"/>
              </w:rPr>
              <w:t xml:space="preserve">5mm×宽3</w:t>
            </w:r>
            <w:r>
              <w:rPr>
                <w:rFonts w:hint="eastAsia" w:ascii="仿宋" w:hAnsi="仿宋" w:eastAsia="仿宋" w:cs="仿宋"/>
                <w:color w:val="auto"/>
                <w:sz w:val="24"/>
                <w:szCs w:val="24"/>
                <w:highlight w:val="none"/>
                <w:lang w:bidi="zh-CN"/>
              </w:rPr>
              <w:t xml:space="preserve">70</w:t>
            </w:r>
            <w:r>
              <w:rPr>
                <w:rFonts w:hint="eastAsia" w:ascii="仿宋" w:hAnsi="仿宋" w:eastAsia="仿宋" w:cs="仿宋"/>
                <w:color w:val="auto"/>
                <w:sz w:val="24"/>
                <w:szCs w:val="24"/>
                <w:highlight w:val="none"/>
                <w:lang w:val="zh-CN" w:bidi="zh-CN"/>
              </w:rPr>
              <w:t xml:space="preserve">mm×高</w:t>
            </w:r>
            <w:r>
              <w:rPr>
                <w:rFonts w:hint="eastAsia" w:ascii="仿宋" w:hAnsi="仿宋" w:eastAsia="仿宋" w:cs="仿宋"/>
                <w:color w:val="auto"/>
                <w:sz w:val="24"/>
                <w:szCs w:val="24"/>
                <w:highlight w:val="none"/>
                <w:lang w:bidi="zh-CN"/>
              </w:rPr>
              <w:t xml:space="preserve">120</w:t>
            </w:r>
            <w:r>
              <w:rPr>
                <w:rFonts w:hint="eastAsia" w:ascii="仿宋" w:hAnsi="仿宋" w:eastAsia="仿宋" w:cs="仿宋"/>
                <w:color w:val="auto"/>
                <w:sz w:val="24"/>
                <w:szCs w:val="24"/>
                <w:highlight w:val="none"/>
                <w:lang w:val="zh-CN" w:bidi="zh-CN"/>
              </w:rPr>
              <w:t xml:space="preserve">mm（公差±5mm）,桌斗内前沿设置凹槽，方便放文具。                                                                                         </w:t>
            </w:r>
            <w:r>
              <w:rPr>
                <w:rFonts w:hint="eastAsia" w:ascii="仿宋" w:hAnsi="仿宋" w:eastAsia="仿宋" w:cs="仿宋"/>
                <w:color w:val="auto"/>
                <w:sz w:val="24"/>
                <w:szCs w:val="24"/>
                <w:highlight w:val="none"/>
                <w:lang w:bidi="zh-CN"/>
              </w:rPr>
              <w:t xml:space="preserve">4.</w:t>
            </w:r>
            <w:r>
              <w:rPr>
                <w:rFonts w:hint="eastAsia" w:ascii="仿宋" w:hAnsi="仿宋" w:eastAsia="仿宋" w:cs="仿宋"/>
                <w:color w:val="auto"/>
                <w:sz w:val="24"/>
                <w:szCs w:val="24"/>
                <w:highlight w:val="none"/>
                <w:lang w:val="zh-CN" w:bidi="zh-CN"/>
              </w:rPr>
              <w:t xml:space="preserve">课桌支架：采用冷轧钢管上下套管结构，上架管规格≥25mm×50mm，管材厚度≥1.2mm，下架钢管规格≥30mm×60mm，管材厚度≥1.2mm。                                           </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5.</w:t>
            </w:r>
            <w:r>
              <w:rPr>
                <w:rFonts w:hint="eastAsia" w:ascii="仿宋" w:hAnsi="仿宋" w:eastAsia="仿宋" w:cs="仿宋"/>
                <w:color w:val="auto"/>
                <w:sz w:val="24"/>
                <w:szCs w:val="24"/>
                <w:highlight w:val="none"/>
                <w:lang w:val="zh-CN" w:bidi="zh-CN"/>
              </w:rPr>
              <w:t xml:space="preserve">脚踏横梁</w:t>
            </w:r>
            <w:r>
              <w:rPr>
                <w:rFonts w:hint="eastAsia" w:ascii="仿宋" w:hAnsi="仿宋" w:eastAsia="仿宋" w:cs="仿宋"/>
                <w:color w:val="auto"/>
                <w:sz w:val="24"/>
                <w:szCs w:val="24"/>
                <w:highlight w:val="none"/>
                <w:lang w:bidi="zh-CN"/>
              </w:rPr>
              <w:t xml:space="preserve">钢</w:t>
            </w:r>
            <w:r>
              <w:rPr>
                <w:rFonts w:hint="eastAsia" w:ascii="仿宋" w:hAnsi="仿宋" w:eastAsia="仿宋" w:cs="仿宋"/>
                <w:color w:val="auto"/>
                <w:sz w:val="24"/>
                <w:szCs w:val="24"/>
                <w:highlight w:val="none"/>
                <w:lang w:val="zh-CN" w:bidi="zh-CN"/>
              </w:rPr>
              <w:t xml:space="preserve">管规格≥40mm×宽20mm，管材厚度≥1.2mm，经打砂等工艺处理，高频焊接成闭口型管材，表面喷涂。                                        </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6.</w:t>
            </w:r>
            <w:r>
              <w:rPr>
                <w:rFonts w:hint="eastAsia" w:ascii="仿宋" w:hAnsi="仿宋" w:eastAsia="仿宋" w:cs="仿宋"/>
                <w:color w:val="auto"/>
                <w:sz w:val="24"/>
                <w:szCs w:val="24"/>
                <w:highlight w:val="none"/>
                <w:lang w:val="zh-CN" w:bidi="zh-CN"/>
              </w:rPr>
              <w:t xml:space="preserve">课桌升降器：采用金属材料，可反复使用。</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7.</w:t>
            </w:r>
            <w:r>
              <w:rPr>
                <w:rFonts w:hint="eastAsia" w:ascii="仿宋" w:hAnsi="仿宋" w:eastAsia="仿宋" w:cs="仿宋"/>
                <w:color w:val="auto"/>
                <w:sz w:val="24"/>
                <w:szCs w:val="24"/>
                <w:highlight w:val="none"/>
                <w:lang w:val="zh-CN" w:bidi="zh-CN"/>
              </w:rPr>
              <w:t xml:space="preserve">脚套：采用环保PP塑料一级新料一体注塑成型，抗压，耐磨，耐冲击，强韧，不脆裂。规格：≥75mm×60mm×35mm，具有穿合锁死功能，使胶套不易脱落，铁管不易伤人。                                                                                            </w:t>
            </w:r>
            <w:r>
              <w:rPr>
                <w:rFonts w:hint="eastAsia" w:ascii="仿宋" w:hAnsi="仿宋" w:eastAsia="仿宋" w:cs="仿宋"/>
                <w:color w:val="auto"/>
                <w:sz w:val="24"/>
                <w:szCs w:val="24"/>
                <w:highlight w:val="none"/>
                <w:lang w:bidi="zh-CN"/>
              </w:rPr>
              <w:t xml:space="preserve">8.</w:t>
            </w:r>
            <w:r>
              <w:rPr>
                <w:rFonts w:hint="eastAsia" w:ascii="仿宋" w:hAnsi="仿宋" w:eastAsia="仿宋" w:cs="仿宋"/>
                <w:color w:val="auto"/>
                <w:sz w:val="24"/>
                <w:szCs w:val="24"/>
                <w:highlight w:val="none"/>
                <w:lang w:val="zh-CN" w:bidi="zh-CN"/>
              </w:rPr>
              <w:t xml:space="preserve">脚底管：钢管规格≥25mm×50mm，管材厚度≥1.</w:t>
            </w:r>
            <w:r>
              <w:rPr>
                <w:rFonts w:hint="eastAsia" w:ascii="仿宋" w:hAnsi="仿宋" w:eastAsia="仿宋" w:cs="仿宋"/>
                <w:color w:val="auto"/>
                <w:sz w:val="24"/>
                <w:szCs w:val="24"/>
                <w:highlight w:val="none"/>
                <w:lang w:bidi="zh-CN"/>
              </w:rPr>
              <w:t xml:space="preserve">5</w:t>
            </w:r>
            <w:r>
              <w:rPr>
                <w:rFonts w:hint="eastAsia" w:ascii="仿宋" w:hAnsi="仿宋" w:eastAsia="仿宋" w:cs="仿宋"/>
                <w:color w:val="auto"/>
                <w:sz w:val="24"/>
                <w:szCs w:val="24"/>
                <w:highlight w:val="none"/>
                <w:lang w:val="zh-CN" w:bidi="zh-CN"/>
              </w:rPr>
              <w:t xml:space="preserve">mm。                                     </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9.</w:t>
            </w:r>
            <w:r>
              <w:rPr>
                <w:rFonts w:hint="eastAsia" w:ascii="仿宋" w:hAnsi="仿宋" w:eastAsia="仿宋" w:cs="仿宋"/>
                <w:color w:val="auto"/>
                <w:sz w:val="24"/>
                <w:szCs w:val="24"/>
                <w:highlight w:val="none"/>
                <w:lang w:val="zh-CN" w:bidi="zh-CN"/>
              </w:rPr>
              <w:t xml:space="preserve">在课桌两侧</w:t>
            </w:r>
            <w:r>
              <w:rPr>
                <w:rFonts w:hint="eastAsia" w:ascii="仿宋" w:hAnsi="仿宋" w:eastAsia="仿宋" w:cs="仿宋"/>
                <w:color w:val="auto"/>
                <w:sz w:val="24"/>
                <w:szCs w:val="24"/>
                <w:highlight w:val="none"/>
                <w:lang w:bidi="zh-CN"/>
              </w:rPr>
              <w:t xml:space="preserve">均</w:t>
            </w:r>
            <w:r>
              <w:rPr>
                <w:rFonts w:hint="eastAsia" w:ascii="仿宋" w:hAnsi="仿宋" w:eastAsia="仿宋" w:cs="仿宋"/>
                <w:color w:val="auto"/>
                <w:sz w:val="24"/>
                <w:szCs w:val="24"/>
                <w:highlight w:val="none"/>
                <w:lang w:val="zh-CN" w:bidi="zh-CN"/>
              </w:rPr>
              <w:t xml:space="preserve">设置</w:t>
            </w:r>
            <w:r>
              <w:rPr>
                <w:rFonts w:hint="eastAsia" w:ascii="仿宋" w:hAnsi="仿宋" w:eastAsia="仿宋" w:cs="仿宋"/>
                <w:color w:val="auto"/>
                <w:sz w:val="24"/>
                <w:szCs w:val="24"/>
                <w:highlight w:val="none"/>
                <w:lang w:bidi="zh-CN"/>
              </w:rPr>
              <w:t xml:space="preserve">一个</w:t>
            </w:r>
            <w:r>
              <w:rPr>
                <w:rFonts w:hint="eastAsia" w:ascii="仿宋" w:hAnsi="仿宋" w:eastAsia="仿宋" w:cs="仿宋"/>
                <w:color w:val="auto"/>
                <w:sz w:val="24"/>
                <w:szCs w:val="24"/>
                <w:highlight w:val="none"/>
                <w:lang w:val="zh-CN" w:bidi="zh-CN"/>
              </w:rPr>
              <w:t xml:space="preserve">挂</w:t>
            </w:r>
            <w:r>
              <w:rPr>
                <w:rFonts w:hint="eastAsia" w:ascii="仿宋" w:hAnsi="仿宋" w:eastAsia="仿宋" w:cs="仿宋"/>
                <w:color w:val="auto"/>
                <w:sz w:val="24"/>
                <w:szCs w:val="24"/>
                <w:highlight w:val="none"/>
                <w:lang w:bidi="zh-CN"/>
              </w:rPr>
              <w:t xml:space="preserve">钩</w:t>
            </w:r>
            <w:r>
              <w:rPr>
                <w:rFonts w:hint="eastAsia" w:ascii="仿宋" w:hAnsi="仿宋" w:eastAsia="仿宋" w:cs="仿宋"/>
                <w:color w:val="auto"/>
                <w:sz w:val="24"/>
                <w:szCs w:val="24"/>
                <w:highlight w:val="none"/>
                <w:lang w:val="zh-CN" w:bidi="zh-CN"/>
              </w:rPr>
              <w:t xml:space="preserve">，单个挂钩承重量不低于</w:t>
            </w:r>
            <w:r>
              <w:rPr>
                <w:rFonts w:hint="eastAsia" w:ascii="仿宋" w:hAnsi="仿宋" w:eastAsia="仿宋" w:cs="仿宋"/>
                <w:color w:val="auto"/>
                <w:sz w:val="24"/>
                <w:szCs w:val="24"/>
                <w:highlight w:val="none"/>
                <w:lang w:bidi="zh-CN"/>
              </w:rPr>
              <w:t xml:space="preserve">5</w:t>
            </w:r>
            <w:r>
              <w:rPr>
                <w:rFonts w:hint="eastAsia" w:ascii="仿宋" w:hAnsi="仿宋" w:eastAsia="仿宋" w:cs="仿宋"/>
                <w:color w:val="auto"/>
                <w:sz w:val="24"/>
                <w:szCs w:val="24"/>
                <w:highlight w:val="none"/>
                <w:lang w:val="zh-CN" w:bidi="zh-CN"/>
              </w:rPr>
              <w:t xml:space="preserve">公斤。</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10.</w:t>
            </w:r>
            <w:r>
              <w:rPr>
                <w:rFonts w:hint="eastAsia" w:ascii="仿宋" w:hAnsi="仿宋" w:eastAsia="仿宋" w:cs="仿宋"/>
                <w:color w:val="auto"/>
                <w:sz w:val="24"/>
                <w:szCs w:val="24"/>
                <w:highlight w:val="none"/>
                <w:lang w:val="zh-CN" w:bidi="zh-CN"/>
              </w:rPr>
              <w:t xml:space="preserve">桌面具备翻转调节功能，采用双侧联动手柄操控，同步按压两侧手柄即可解锁并实现桌面翻转；产品设置三档角度定位，可根据使用需求切换档位，定位牢固、调节顺畅，各档位无自行滑动、松动现象。</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11.</w:t>
            </w:r>
            <w:r>
              <w:rPr>
                <w:rFonts w:hint="eastAsia" w:ascii="仿宋" w:hAnsi="仿宋" w:eastAsia="仿宋" w:cs="仿宋"/>
                <w:color w:val="auto"/>
                <w:sz w:val="24"/>
                <w:szCs w:val="24"/>
                <w:highlight w:val="none"/>
                <w:lang w:val="zh-CN" w:bidi="zh-CN"/>
              </w:rPr>
              <w:t xml:space="preserve">焊接： 钢管焊接均采用二氧化碳保护焊工艺。要求焊接表面波纹均匀，焊接处无夹渣、气孔、焊瘤、焊丝咬边和飞溅，无脱焊、虚焊和焊空现象。</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12.</w:t>
            </w:r>
            <w:r>
              <w:rPr>
                <w:rFonts w:hint="eastAsia" w:ascii="仿宋" w:hAnsi="仿宋" w:eastAsia="仿宋" w:cs="仿宋"/>
                <w:color w:val="auto"/>
                <w:sz w:val="24"/>
                <w:szCs w:val="24"/>
                <w:highlight w:val="none"/>
                <w:lang w:val="zh-CN" w:bidi="zh-CN"/>
              </w:rPr>
              <w:t xml:space="preserve">外观与质量要求：</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喷塑涂层： 表面颜色光亮均匀（与桌面色板协调），光洁平整。需无漏喷、锈蚀；无颗粒渣点、无流挂、疙瘩、皱皮、飞漆；涂层平整光滑、清晰，无明显粒子、涨边现象；应无明显加工痕迹、划痕、雾光、白棱、白点、鼓泡、油白、流挂、缩孔、刷毛、积粉和杂渣。确保不脱漆。</w:t>
            </w:r>
            <w:r/>
          </w:p>
          <w:p>
            <w:pPr>
              <w:jc w:val="left"/>
              <w:spacing w:line="320" w:lineRule="exact"/>
              <w:widowControl/>
              <w:rPr>
                <w:rFonts w:ascii="仿宋" w:hAnsi="仿宋" w:eastAsia="仿宋" w:cs="仿宋"/>
                <w:b/>
                <w:bCs/>
                <w:i/>
                <w:iCs/>
                <w:color w:val="auto"/>
                <w:sz w:val="24"/>
                <w:szCs w:val="24"/>
                <w:highlight w:val="none"/>
                <w:u w:val="single"/>
                <w:lang w:val="zh-CN" w:bidi="zh-CN"/>
              </w:rPr>
            </w:pPr>
            <w:r>
              <w:rPr>
                <w:rFonts w:hint="eastAsia" w:ascii="仿宋" w:hAnsi="仿宋" w:eastAsia="仿宋" w:cs="仿宋"/>
                <w:b/>
                <w:bCs/>
                <w:i/>
                <w:iCs/>
                <w:color w:val="auto"/>
                <w:sz w:val="24"/>
                <w:szCs w:val="24"/>
                <w:highlight w:val="none"/>
                <w:u w:val="single"/>
                <w:lang w:bidi="zh-CN"/>
              </w:rPr>
              <w:t xml:space="preserve">13.</w:t>
            </w:r>
            <w:r>
              <w:rPr>
                <w:rFonts w:hint="eastAsia" w:ascii="仿宋" w:hAnsi="仿宋" w:eastAsia="仿宋" w:cs="仿宋"/>
                <w:b/>
                <w:bCs/>
                <w:i/>
                <w:iCs/>
                <w:color w:val="auto"/>
                <w:sz w:val="24"/>
                <w:szCs w:val="24"/>
                <w:highlight w:val="none"/>
                <w:u w:val="single"/>
                <w:lang w:val="zh-CN" w:bidi="zh-CN"/>
              </w:rPr>
              <w:t xml:space="preserve">需提供</w:t>
            </w:r>
            <w:r>
              <w:rPr>
                <w:rFonts w:hint="eastAsia" w:ascii="仿宋" w:hAnsi="仿宋" w:eastAsia="仿宋" w:cs="仿宋"/>
                <w:b/>
                <w:bCs/>
                <w:i/>
                <w:iCs/>
                <w:color w:val="auto"/>
                <w:sz w:val="24"/>
                <w:szCs w:val="24"/>
                <w:highlight w:val="none"/>
                <w:u w:val="single"/>
                <w:lang w:val="en-US" w:bidi="zh-CN"/>
              </w:rPr>
              <w:t xml:space="preserve">所投产品</w:t>
            </w:r>
            <w:r>
              <w:rPr>
                <w:rFonts w:hint="eastAsia" w:ascii="仿宋" w:hAnsi="仿宋" w:eastAsia="仿宋" w:cs="仿宋"/>
                <w:b/>
                <w:bCs/>
                <w:i/>
                <w:iCs/>
                <w:color w:val="auto"/>
                <w:sz w:val="24"/>
                <w:szCs w:val="24"/>
                <w:highlight w:val="none"/>
                <w:u w:val="single"/>
                <w:lang w:val="zh-CN" w:bidi="zh-CN"/>
              </w:rPr>
              <w:t xml:space="preserve">具有“CMA”标识的权威检验机构出具的且符合</w:t>
            </w:r>
            <w:r>
              <w:rPr>
                <w:rFonts w:hint="eastAsia" w:ascii="仿宋" w:hAnsi="仿宋" w:eastAsia="仿宋" w:cs="仿宋"/>
                <w:b/>
                <w:bCs/>
                <w:i/>
                <w:iCs/>
                <w:color w:val="auto"/>
                <w:sz w:val="24"/>
                <w:szCs w:val="24"/>
                <w:highlight w:val="none"/>
                <w:u w:val="single"/>
                <w:lang w:bidi="zh-CN"/>
              </w:rPr>
              <w:t xml:space="preserve">以下</w:t>
            </w:r>
            <w:r>
              <w:rPr>
                <w:rFonts w:hint="eastAsia" w:ascii="仿宋" w:hAnsi="仿宋" w:eastAsia="仿宋" w:cs="仿宋"/>
                <w:b/>
                <w:bCs/>
                <w:i/>
                <w:iCs/>
                <w:color w:val="auto"/>
                <w:sz w:val="24"/>
                <w:szCs w:val="24"/>
                <w:highlight w:val="none"/>
                <w:u w:val="single"/>
                <w:lang w:val="zh-CN" w:bidi="zh-CN"/>
              </w:rPr>
              <w:t xml:space="preserve">标准</w:t>
            </w:r>
            <w:r>
              <w:rPr>
                <w:rFonts w:hint="eastAsia" w:ascii="仿宋" w:hAnsi="仿宋" w:eastAsia="仿宋" w:cs="仿宋"/>
                <w:b/>
                <w:bCs/>
                <w:i/>
                <w:iCs/>
                <w:color w:val="auto"/>
                <w:sz w:val="24"/>
                <w:szCs w:val="24"/>
                <w:highlight w:val="none"/>
                <w:u w:val="single"/>
                <w:lang w:bidi="zh-CN"/>
              </w:rPr>
              <w:t xml:space="preserve">的</w:t>
            </w:r>
            <w:r>
              <w:rPr>
                <w:rFonts w:hint="eastAsia" w:ascii="仿宋" w:hAnsi="仿宋" w:eastAsia="仿宋" w:cs="仿宋"/>
                <w:b/>
                <w:bCs/>
                <w:i/>
                <w:iCs/>
                <w:color w:val="auto"/>
                <w:sz w:val="24"/>
                <w:szCs w:val="24"/>
                <w:highlight w:val="none"/>
                <w:u w:val="single"/>
                <w:lang w:val="zh-CN" w:bidi="zh-CN"/>
              </w:rPr>
              <w:t xml:space="preserve">检测报告清晰扫描件（</w:t>
            </w:r>
            <w:r>
              <w:rPr>
                <w:rFonts w:hint="eastAsia" w:ascii="仿宋" w:hAnsi="仿宋" w:eastAsia="仿宋" w:cs="仿宋"/>
                <w:b/>
                <w:bCs/>
                <w:i/>
                <w:iCs/>
                <w:color w:val="auto"/>
                <w:sz w:val="24"/>
                <w:szCs w:val="24"/>
                <w:highlight w:val="none"/>
                <w:u w:val="single"/>
                <w:lang w:bidi="zh-CN"/>
              </w:rPr>
              <w:t xml:space="preserve">以下</w:t>
            </w:r>
            <w:r>
              <w:rPr>
                <w:rFonts w:hint="eastAsia" w:ascii="仿宋" w:hAnsi="仿宋" w:eastAsia="仿宋" w:cs="仿宋"/>
                <w:b/>
                <w:bCs/>
                <w:i/>
                <w:iCs/>
                <w:color w:val="auto"/>
                <w:sz w:val="24"/>
                <w:szCs w:val="24"/>
                <w:highlight w:val="none"/>
                <w:u w:val="single"/>
                <w:lang w:val="en-US" w:bidi="zh-CN"/>
              </w:rPr>
              <w:t xml:space="preserve">2</w:t>
            </w:r>
            <w:r>
              <w:rPr>
                <w:rFonts w:hint="eastAsia" w:ascii="仿宋" w:hAnsi="仿宋" w:eastAsia="仿宋" w:cs="仿宋"/>
                <w:b/>
                <w:bCs/>
                <w:i/>
                <w:iCs/>
                <w:color w:val="auto"/>
                <w:sz w:val="24"/>
                <w:szCs w:val="24"/>
                <w:highlight w:val="none"/>
                <w:u w:val="single"/>
                <w:lang w:bidi="zh-CN"/>
              </w:rPr>
              <w:t xml:space="preserve">项为实质性响应条件，未提供视为无效投标</w:t>
            </w:r>
            <w:r>
              <w:rPr>
                <w:rFonts w:hint="eastAsia" w:ascii="仿宋" w:hAnsi="仿宋" w:eastAsia="仿宋" w:cs="仿宋"/>
                <w:b/>
                <w:bCs/>
                <w:i/>
                <w:iCs/>
                <w:color w:val="auto"/>
                <w:sz w:val="24"/>
                <w:szCs w:val="24"/>
                <w:highlight w:val="none"/>
                <w:u w:val="single"/>
                <w:lang w:val="zh-CN" w:bidi="zh-CN"/>
              </w:rPr>
              <w:t xml:space="preserve">）。</w:t>
            </w:r>
            <w:r/>
          </w:p>
          <w:p>
            <w:pPr>
              <w:jc w:val="left"/>
              <w:spacing w:line="320" w:lineRule="exact"/>
              <w:widowControl/>
              <w:rPr>
                <w:rFonts w:ascii="仿宋" w:hAnsi="仿宋" w:eastAsia="仿宋" w:cs="仿宋"/>
                <w:b/>
                <w:bCs/>
                <w:i/>
                <w:iCs/>
                <w:color w:val="auto"/>
                <w:sz w:val="24"/>
                <w:szCs w:val="24"/>
                <w:highlight w:val="none"/>
                <w:u w:val="single"/>
                <w:lang w:val="zh-CN" w:bidi="zh-CN"/>
              </w:rPr>
            </w:pPr>
            <w:r>
              <w:rPr>
                <w:rFonts w:hint="eastAsia" w:ascii="仿宋" w:hAnsi="仿宋" w:eastAsia="仿宋" w:cs="仿宋"/>
                <w:b/>
                <w:bCs/>
                <w:i/>
                <w:iCs/>
                <w:color w:val="auto"/>
                <w:sz w:val="24"/>
                <w:szCs w:val="24"/>
                <w:highlight w:val="none"/>
                <w:u w:val="single"/>
                <w:lang w:bidi="zh-CN"/>
              </w:rPr>
              <w:t xml:space="preserve">（1）</w:t>
            </w:r>
            <w:r>
              <w:rPr>
                <w:rFonts w:hint="eastAsia" w:ascii="仿宋" w:hAnsi="仿宋" w:eastAsia="仿宋" w:cs="仿宋"/>
                <w:b/>
                <w:bCs/>
                <w:i/>
                <w:iCs/>
                <w:color w:val="auto"/>
                <w:sz w:val="24"/>
                <w:szCs w:val="24"/>
                <w:highlight w:val="none"/>
                <w:u w:val="single"/>
                <w:lang w:val="zh-CN" w:bidi="zh-CN"/>
              </w:rPr>
              <w:t xml:space="preserve">GB</w:t>
            </w:r>
            <w:r>
              <w:rPr>
                <w:rFonts w:hint="eastAsia" w:ascii="仿宋" w:hAnsi="仿宋" w:eastAsia="仿宋" w:cs="仿宋"/>
                <w:b/>
                <w:bCs/>
                <w:i/>
                <w:iCs/>
                <w:color w:val="auto"/>
                <w:sz w:val="24"/>
                <w:szCs w:val="24"/>
                <w:highlight w:val="none"/>
                <w:u w:val="single"/>
                <w:lang w:bidi="zh-CN"/>
              </w:rPr>
              <w:t xml:space="preserve"> </w:t>
            </w:r>
            <w:r>
              <w:rPr>
                <w:rFonts w:hint="eastAsia" w:ascii="仿宋" w:hAnsi="仿宋" w:eastAsia="仿宋" w:cs="仿宋"/>
                <w:b/>
                <w:bCs/>
                <w:i/>
                <w:iCs/>
                <w:color w:val="auto"/>
                <w:sz w:val="24"/>
                <w:szCs w:val="24"/>
                <w:highlight w:val="none"/>
                <w:u w:val="single"/>
                <w:lang w:val="zh-CN" w:bidi="zh-CN"/>
              </w:rPr>
              <w:t xml:space="preserve">18584-2024《家具中有害物质限量》</w:t>
            </w:r>
            <w:r/>
          </w:p>
          <w:p>
            <w:pPr>
              <w:jc w:val="left"/>
              <w:spacing w:line="320" w:lineRule="exact"/>
              <w:widowControl/>
              <w:rPr>
                <w:rFonts w:ascii="仿宋" w:hAnsi="仿宋" w:eastAsia="仿宋" w:cs="仿宋"/>
                <w:b/>
                <w:bCs/>
                <w:color w:val="auto"/>
                <w:sz w:val="24"/>
                <w:szCs w:val="24"/>
                <w:highlight w:val="none"/>
                <w:lang w:bidi="zh-CN"/>
              </w:rPr>
            </w:pPr>
            <w:r>
              <w:rPr>
                <w:rFonts w:hint="eastAsia" w:ascii="仿宋" w:hAnsi="仿宋" w:eastAsia="仿宋" w:cs="仿宋"/>
                <w:b/>
                <w:bCs/>
                <w:i/>
                <w:iCs/>
                <w:color w:val="auto"/>
                <w:sz w:val="24"/>
                <w:szCs w:val="24"/>
                <w:highlight w:val="none"/>
                <w:u w:val="single"/>
                <w:lang w:bidi="zh-CN"/>
              </w:rPr>
              <w:t xml:space="preserve">（2）</w:t>
            </w:r>
            <w:r>
              <w:rPr>
                <w:rFonts w:hint="eastAsia" w:ascii="仿宋" w:hAnsi="仿宋" w:eastAsia="仿宋" w:cs="仿宋"/>
                <w:b/>
                <w:bCs/>
                <w:i/>
                <w:iCs/>
                <w:color w:val="auto"/>
                <w:sz w:val="24"/>
                <w:szCs w:val="24"/>
                <w:highlight w:val="none"/>
                <w:u w:val="single"/>
                <w:lang w:val="zh-CN" w:bidi="zh-CN"/>
              </w:rPr>
              <w:t xml:space="preserve">GB 28008-2024《家具结构安全技术规范》</w:t>
            </w:r>
            <w:r/>
          </w:p>
        </w:tc>
      </w:tr>
      <w:tr>
        <w:trPr>
          <w:jc w:val="center"/>
          <w:trHeight w:val="343"/>
        </w:trPr>
        <w:tc>
          <w:tcPr>
            <w:tcW w:w="747" w:type="dxa"/>
            <w:vAlign w:val="center"/>
            <w:textDirection w:val="lrTb"/>
            <w:noWrap w:val="false"/>
          </w:tcPr>
          <w:p>
            <w:pPr>
              <w:jc w:val="center"/>
              <w:spacing w:line="32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W w:w="800" w:type="dxa"/>
            <w:vAlign w:val="center"/>
            <w:textDirection w:val="lrTb"/>
            <w:noWrap w:val="false"/>
          </w:tcPr>
          <w:p>
            <w:pPr>
              <w:jc w:val="center"/>
              <w:spacing w:line="32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午休座椅</w:t>
            </w:r>
            <w:r/>
          </w:p>
        </w:tc>
        <w:tc>
          <w:tcPr>
            <w:tcW w:w="1412" w:type="dxa"/>
            <w:vAlign w:val="center"/>
            <w:textDirection w:val="lrTb"/>
            <w:noWrap w:val="false"/>
          </w:tcPr>
          <w:p>
            <w:pPr>
              <w:jc w:val="center"/>
              <w:spacing w:line="32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w:t>
            </w:r>
            <w:r/>
          </w:p>
          <w:p>
            <w:pPr>
              <w:jc w:val="center"/>
              <w:spacing w:line="32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bidi="zh-CN"/>
              </w:rPr>
              <w:t xml:space="preserve">≥</w:t>
            </w:r>
            <w:r>
              <w:rPr>
                <w:rFonts w:hint="eastAsia" w:ascii="仿宋" w:hAnsi="仿宋" w:eastAsia="仿宋" w:cs="仿宋"/>
                <w:color w:val="auto"/>
                <w:sz w:val="24"/>
                <w:szCs w:val="24"/>
                <w:highlight w:val="none"/>
              </w:rPr>
              <w:t xml:space="preserve">410mm×450mm×340mm-460mm（高度可升降调节）</w:t>
            </w:r>
            <w:r/>
          </w:p>
        </w:tc>
        <w:tc>
          <w:tcPr>
            <w:tcW w:w="6426" w:type="dxa"/>
            <w:vAlign w:val="center"/>
            <w:textDirection w:val="lrTb"/>
            <w:noWrap w:val="false"/>
          </w:tcPr>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1.座椅规格：背板、坐</w:t>
            </w:r>
            <w:r>
              <w:rPr>
                <w:rFonts w:hint="eastAsia" w:ascii="仿宋" w:hAnsi="仿宋" w:eastAsia="仿宋" w:cs="仿宋"/>
                <w:color w:val="auto"/>
                <w:sz w:val="24"/>
                <w:szCs w:val="24"/>
                <w:highlight w:val="none"/>
                <w:lang w:val="zh-CN" w:bidi="zh-CN"/>
              </w:rPr>
              <w:t xml:space="preserve">板采用环保</w:t>
            </w:r>
            <w:r>
              <w:rPr>
                <w:rFonts w:hint="eastAsia" w:ascii="仿宋" w:hAnsi="仿宋" w:eastAsia="仿宋" w:cs="仿宋"/>
                <w:color w:val="auto"/>
                <w:sz w:val="24"/>
                <w:szCs w:val="24"/>
                <w:highlight w:val="none"/>
              </w:rPr>
              <w:t xml:space="preserve">PP塑料一级新料一体注塑成型，抗压，耐磨，耐冲击，强韧，不脆裂。靠</w:t>
            </w:r>
            <w:r>
              <w:rPr>
                <w:rFonts w:hint="eastAsia" w:ascii="仿宋" w:hAnsi="仿宋" w:eastAsia="仿宋" w:cs="仿宋"/>
                <w:color w:val="auto"/>
                <w:sz w:val="24"/>
                <w:szCs w:val="24"/>
                <w:highlight w:val="none"/>
                <w:lang w:val="zh-CN" w:bidi="zh-CN"/>
              </w:rPr>
              <w:t xml:space="preserve">背规格：≥高3</w:t>
            </w:r>
            <w:r>
              <w:rPr>
                <w:rFonts w:hint="eastAsia" w:ascii="仿宋" w:hAnsi="仿宋" w:eastAsia="仿宋" w:cs="仿宋"/>
                <w:color w:val="auto"/>
                <w:sz w:val="24"/>
                <w:szCs w:val="24"/>
                <w:highlight w:val="none"/>
                <w:lang w:bidi="zh-CN"/>
              </w:rPr>
              <w:t xml:space="preserve">4</w:t>
            </w:r>
            <w:r>
              <w:rPr>
                <w:rFonts w:hint="eastAsia" w:ascii="仿宋" w:hAnsi="仿宋" w:eastAsia="仿宋" w:cs="仿宋"/>
                <w:color w:val="auto"/>
                <w:sz w:val="24"/>
                <w:szCs w:val="24"/>
                <w:highlight w:val="none"/>
                <w:lang w:val="zh-CN" w:bidi="zh-CN"/>
              </w:rPr>
              <w:t xml:space="preserve">0mm×宽4</w:t>
            </w:r>
            <w:r>
              <w:rPr>
                <w:rFonts w:hint="eastAsia" w:ascii="仿宋" w:hAnsi="仿宋" w:eastAsia="仿宋" w:cs="仿宋"/>
                <w:color w:val="auto"/>
                <w:sz w:val="24"/>
                <w:szCs w:val="24"/>
                <w:highlight w:val="none"/>
                <w:lang w:bidi="zh-CN"/>
              </w:rPr>
              <w:t xml:space="preserve">6</w:t>
            </w:r>
            <w:r>
              <w:rPr>
                <w:rFonts w:hint="eastAsia" w:ascii="仿宋" w:hAnsi="仿宋" w:eastAsia="仿宋" w:cs="仿宋"/>
                <w:color w:val="auto"/>
                <w:sz w:val="24"/>
                <w:szCs w:val="24"/>
                <w:highlight w:val="none"/>
                <w:lang w:val="zh-CN" w:bidi="zh-CN"/>
              </w:rPr>
              <w:t xml:space="preserve">0mm（公差±5mm）。</w:t>
            </w:r>
            <w:r>
              <w:rPr>
                <w:rFonts w:hint="eastAsia" w:ascii="仿宋" w:hAnsi="仿宋" w:eastAsia="仿宋" w:cs="仿宋"/>
                <w:color w:val="auto"/>
                <w:sz w:val="24"/>
                <w:szCs w:val="24"/>
                <w:highlight w:val="none"/>
                <w:lang w:bidi="zh-CN"/>
              </w:rPr>
              <w:t xml:space="preserve">靠背高度高出桌面高度(靠背伸展部分收起时)≤150mm,</w:t>
            </w:r>
            <w:r>
              <w:rPr>
                <w:rFonts w:hint="eastAsia" w:ascii="仿宋" w:hAnsi="仿宋" w:eastAsia="仿宋" w:cs="仿宋"/>
                <w:color w:val="auto"/>
                <w:sz w:val="24"/>
                <w:szCs w:val="24"/>
                <w:highlight w:val="none"/>
                <w:lang w:val="zh-CN" w:bidi="zh-CN"/>
              </w:rPr>
              <w:t xml:space="preserve">座板规格：≥深</w:t>
            </w:r>
            <w:r>
              <w:rPr>
                <w:rFonts w:hint="eastAsia" w:ascii="仿宋" w:hAnsi="仿宋" w:eastAsia="仿宋" w:cs="仿宋"/>
                <w:color w:val="auto"/>
                <w:sz w:val="24"/>
                <w:szCs w:val="24"/>
                <w:highlight w:val="none"/>
                <w:lang w:bidi="zh-CN"/>
              </w:rPr>
              <w:t xml:space="preserve">41</w:t>
            </w:r>
            <w:r>
              <w:rPr>
                <w:rFonts w:hint="eastAsia" w:ascii="仿宋" w:hAnsi="仿宋" w:eastAsia="仿宋" w:cs="仿宋"/>
                <w:color w:val="auto"/>
                <w:sz w:val="24"/>
                <w:szCs w:val="24"/>
                <w:highlight w:val="none"/>
                <w:lang w:val="zh-CN" w:bidi="zh-CN"/>
              </w:rPr>
              <w:t xml:space="preserve">0mm×宽</w:t>
            </w:r>
            <w:r>
              <w:rPr>
                <w:rFonts w:hint="eastAsia" w:ascii="仿宋" w:hAnsi="仿宋" w:eastAsia="仿宋" w:cs="仿宋"/>
                <w:color w:val="auto"/>
                <w:sz w:val="24"/>
                <w:szCs w:val="24"/>
                <w:highlight w:val="none"/>
                <w:lang w:bidi="zh-CN"/>
              </w:rPr>
              <w:t xml:space="preserve">36</w:t>
            </w:r>
            <w:r>
              <w:rPr>
                <w:rFonts w:hint="eastAsia" w:ascii="仿宋" w:hAnsi="仿宋" w:eastAsia="仿宋" w:cs="仿宋"/>
                <w:color w:val="auto"/>
                <w:sz w:val="24"/>
                <w:szCs w:val="24"/>
                <w:highlight w:val="none"/>
                <w:lang w:val="zh-CN" w:bidi="zh-CN"/>
              </w:rPr>
              <w:t xml:space="preserve">0mm（公差±5mm）。表面处理：防滑晒纹处理。透气设计：半凹半通多孔设计，提高透气性。承重结构：内部加强筋结构设计，确保足够的强度和刚度。边缘处理：圆角设计，避免锐利边角，保障学生安全。</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bidi="zh-CN"/>
              </w:rPr>
              <w:t xml:space="preserve">脚架立柱：采用冷轧钢管上下套管结构，上架规格长≥50</w:t>
            </w:r>
            <w:r>
              <w:rPr>
                <w:rFonts w:hint="eastAsia" w:ascii="仿宋" w:hAnsi="仿宋" w:eastAsia="仿宋" w:cs="仿宋"/>
                <w:color w:val="auto"/>
                <w:sz w:val="24"/>
                <w:szCs w:val="24"/>
                <w:highlight w:val="none"/>
                <w:lang w:bidi="zh-CN"/>
              </w:rPr>
              <w:t xml:space="preserve">mm</w:t>
            </w:r>
            <w:r>
              <w:rPr>
                <w:rFonts w:hint="eastAsia" w:ascii="仿宋" w:hAnsi="仿宋" w:eastAsia="仿宋" w:cs="仿宋"/>
                <w:color w:val="auto"/>
                <w:sz w:val="24"/>
                <w:szCs w:val="24"/>
                <w:highlight w:val="none"/>
                <w:lang w:val="zh-CN" w:bidi="zh-CN"/>
              </w:rPr>
              <w:t xml:space="preserve">×宽25mm，管材厚度为≥1.2mm </w:t>
            </w:r>
            <w:r>
              <w:rPr>
                <w:rFonts w:hint="eastAsia" w:ascii="仿宋" w:hAnsi="仿宋" w:eastAsia="仿宋" w:cs="仿宋"/>
                <w:color w:val="auto"/>
                <w:sz w:val="24"/>
                <w:szCs w:val="24"/>
                <w:highlight w:val="none"/>
                <w:lang w:bidi="zh-CN"/>
              </w:rPr>
              <w:t xml:space="preserve">;</w:t>
            </w:r>
            <w:r>
              <w:rPr>
                <w:rFonts w:hint="eastAsia" w:ascii="仿宋" w:hAnsi="仿宋" w:eastAsia="仿宋" w:cs="仿宋"/>
                <w:color w:val="auto"/>
                <w:sz w:val="24"/>
                <w:szCs w:val="24"/>
                <w:highlight w:val="none"/>
                <w:lang w:val="zh-CN" w:bidi="zh-CN"/>
              </w:rPr>
              <w:t xml:space="preserve">下架规格长≥60</w:t>
            </w:r>
            <w:r>
              <w:rPr>
                <w:rFonts w:hint="eastAsia" w:ascii="仿宋" w:hAnsi="仿宋" w:eastAsia="仿宋" w:cs="仿宋"/>
                <w:color w:val="auto"/>
                <w:sz w:val="24"/>
                <w:szCs w:val="24"/>
                <w:highlight w:val="none"/>
                <w:lang w:bidi="zh-CN"/>
              </w:rPr>
              <w:t xml:space="preserve">mm</w:t>
            </w:r>
            <w:r>
              <w:rPr>
                <w:rFonts w:hint="eastAsia" w:ascii="仿宋" w:hAnsi="仿宋" w:eastAsia="仿宋" w:cs="仿宋"/>
                <w:color w:val="auto"/>
                <w:sz w:val="24"/>
                <w:szCs w:val="24"/>
                <w:highlight w:val="none"/>
                <w:lang w:val="zh-CN" w:bidi="zh-CN"/>
              </w:rPr>
              <w:t xml:space="preserve">×宽30mm，管材厚度为≥1.2mm  。                               </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3.</w:t>
            </w:r>
            <w:r>
              <w:rPr>
                <w:rFonts w:hint="eastAsia" w:ascii="仿宋" w:hAnsi="仿宋" w:eastAsia="仿宋" w:cs="仿宋"/>
                <w:color w:val="auto"/>
                <w:sz w:val="24"/>
                <w:szCs w:val="24"/>
                <w:highlight w:val="none"/>
                <w:lang w:val="zh-CN" w:bidi="zh-CN"/>
              </w:rPr>
              <w:t xml:space="preserve">座椅具升降功能，配手摇升降器，椅面离地可调节高度范围：3</w:t>
            </w:r>
            <w:r>
              <w:rPr>
                <w:rFonts w:hint="eastAsia" w:ascii="仿宋" w:hAnsi="仿宋" w:eastAsia="仿宋" w:cs="仿宋"/>
                <w:color w:val="auto"/>
                <w:sz w:val="24"/>
                <w:szCs w:val="24"/>
                <w:highlight w:val="none"/>
                <w:lang w:bidi="zh-CN"/>
              </w:rPr>
              <w:t xml:space="preserve">4</w:t>
            </w:r>
            <w:r>
              <w:rPr>
                <w:rFonts w:hint="eastAsia" w:ascii="仿宋" w:hAnsi="仿宋" w:eastAsia="仿宋" w:cs="仿宋"/>
                <w:color w:val="auto"/>
                <w:sz w:val="24"/>
                <w:szCs w:val="24"/>
                <w:highlight w:val="none"/>
                <w:lang w:val="zh-CN" w:bidi="zh-CN"/>
              </w:rPr>
              <w:t xml:space="preserve">0</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z w:val="24"/>
                <w:szCs w:val="24"/>
                <w:highlight w:val="none"/>
                <w:lang w:val="zh-CN" w:bidi="zh-CN"/>
              </w:rPr>
              <w:t xml:space="preserve">-4</w:t>
            </w:r>
            <w:r>
              <w:rPr>
                <w:rFonts w:hint="eastAsia" w:ascii="仿宋" w:hAnsi="仿宋" w:eastAsia="仿宋" w:cs="仿宋"/>
                <w:color w:val="auto"/>
                <w:sz w:val="24"/>
                <w:szCs w:val="24"/>
                <w:highlight w:val="none"/>
                <w:lang w:bidi="zh-CN"/>
              </w:rPr>
              <w:t xml:space="preserve">6</w:t>
            </w:r>
            <w:r>
              <w:rPr>
                <w:rFonts w:hint="eastAsia" w:ascii="仿宋" w:hAnsi="仿宋" w:eastAsia="仿宋" w:cs="仿宋"/>
                <w:color w:val="auto"/>
                <w:sz w:val="24"/>
                <w:szCs w:val="24"/>
                <w:highlight w:val="none"/>
                <w:lang w:val="zh-CN" w:bidi="zh-CN"/>
              </w:rPr>
              <w:t xml:space="preserve">0mm（公差±5mm）。</w:t>
            </w:r>
            <w:r>
              <w:rPr>
                <w:rFonts w:hint="eastAsia" w:ascii="仿宋" w:hAnsi="仿宋" w:eastAsia="仿宋" w:cs="仿宋"/>
                <w:color w:val="auto"/>
                <w:sz w:val="24"/>
                <w:szCs w:val="24"/>
                <w:highlight w:val="none"/>
                <w:lang w:bidi="zh-CN"/>
              </w:rPr>
              <w:t xml:space="preserve">座椅升降方式：采用升降蜗杆进行手摇升降。</w:t>
            </w:r>
            <w:r>
              <w:rPr>
                <w:rFonts w:hint="eastAsia" w:ascii="仿宋" w:hAnsi="仿宋" w:eastAsia="仿宋" w:cs="仿宋"/>
                <w:color w:val="auto"/>
                <w:sz w:val="24"/>
                <w:szCs w:val="24"/>
                <w:highlight w:val="none"/>
                <w:lang w:val="zh-CN" w:bidi="zh-CN"/>
              </w:rPr>
              <w:t xml:space="preserve">                                                </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4.</w:t>
            </w:r>
            <w:r>
              <w:rPr>
                <w:rFonts w:hint="eastAsia" w:ascii="仿宋" w:hAnsi="仿宋" w:eastAsia="仿宋" w:cs="仿宋"/>
                <w:color w:val="auto"/>
                <w:sz w:val="24"/>
                <w:szCs w:val="24"/>
                <w:highlight w:val="none"/>
                <w:lang w:val="zh-CN" w:bidi="zh-CN"/>
              </w:rPr>
              <w:t xml:space="preserve">升降器：采用金属材料，可反复使用。                                                </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5.</w:t>
            </w:r>
            <w:r>
              <w:rPr>
                <w:rFonts w:hint="eastAsia" w:ascii="仿宋" w:hAnsi="仿宋" w:eastAsia="仿宋" w:cs="仿宋"/>
                <w:color w:val="auto"/>
                <w:sz w:val="24"/>
                <w:szCs w:val="24"/>
                <w:highlight w:val="none"/>
                <w:lang w:val="zh-CN" w:bidi="zh-CN"/>
              </w:rPr>
              <w:t xml:space="preserve">脚套：采用环保PP塑料一级新料一体注塑成型，抗压，耐磨，耐冲击，强韧，不脆裂。规格：≥75mm×60mm×35mm，具有穿合锁死功能，使胶套不易脱落，铁管不易伤人。                                                                       </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6.</w:t>
            </w:r>
            <w:r>
              <w:rPr>
                <w:rFonts w:hint="eastAsia" w:ascii="仿宋" w:hAnsi="仿宋" w:eastAsia="仿宋" w:cs="仿宋"/>
                <w:color w:val="auto"/>
                <w:sz w:val="24"/>
                <w:szCs w:val="24"/>
                <w:highlight w:val="none"/>
                <w:lang w:val="zh-CN" w:bidi="zh-CN"/>
              </w:rPr>
              <w:t xml:space="preserve">脚底管：钢管规格长≥50mm×宽25mm，管材厚度≥1.</w:t>
            </w:r>
            <w:r>
              <w:rPr>
                <w:rFonts w:hint="eastAsia" w:ascii="仿宋" w:hAnsi="仿宋" w:eastAsia="仿宋" w:cs="仿宋"/>
                <w:color w:val="auto"/>
                <w:sz w:val="24"/>
                <w:szCs w:val="24"/>
                <w:highlight w:val="none"/>
                <w:lang w:bidi="zh-CN"/>
              </w:rPr>
              <w:t xml:space="preserve">5mm</w:t>
            </w:r>
            <w:r>
              <w:rPr>
                <w:rFonts w:hint="eastAsia" w:ascii="仿宋" w:hAnsi="仿宋" w:eastAsia="仿宋" w:cs="仿宋"/>
                <w:color w:val="auto"/>
                <w:sz w:val="24"/>
                <w:szCs w:val="24"/>
                <w:highlight w:val="none"/>
                <w:lang w:val="zh-CN" w:bidi="zh-CN"/>
              </w:rPr>
              <w:t xml:space="preserve">。                                                                     </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7.</w:t>
            </w:r>
            <w:r>
              <w:rPr>
                <w:rFonts w:hint="eastAsia" w:ascii="仿宋" w:hAnsi="仿宋" w:eastAsia="仿宋" w:cs="仿宋"/>
                <w:color w:val="auto"/>
                <w:sz w:val="24"/>
                <w:szCs w:val="24"/>
                <w:highlight w:val="none"/>
                <w:lang w:val="zh-CN" w:bidi="zh-CN"/>
              </w:rPr>
              <w:t xml:space="preserve">腿托钢架：钢管规格≥40mm×20mm，管材厚度≥1.</w:t>
            </w:r>
            <w:r>
              <w:rPr>
                <w:rFonts w:hint="eastAsia" w:ascii="仿宋" w:hAnsi="仿宋" w:eastAsia="仿宋" w:cs="仿宋"/>
                <w:color w:val="auto"/>
                <w:sz w:val="24"/>
                <w:szCs w:val="24"/>
                <w:highlight w:val="none"/>
                <w:lang w:bidi="zh-CN"/>
              </w:rPr>
              <w:t xml:space="preserve">2</w:t>
            </w:r>
            <w:r>
              <w:rPr>
                <w:rFonts w:hint="eastAsia" w:ascii="仿宋" w:hAnsi="仿宋" w:eastAsia="仿宋" w:cs="仿宋"/>
                <w:color w:val="auto"/>
                <w:sz w:val="24"/>
                <w:szCs w:val="24"/>
                <w:highlight w:val="none"/>
                <w:lang w:val="zh-CN" w:bidi="zh-CN"/>
              </w:rPr>
              <w:t xml:space="preserve">mm。</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8.</w:t>
            </w:r>
            <w:r>
              <w:rPr>
                <w:rFonts w:hint="eastAsia" w:ascii="仿宋" w:hAnsi="仿宋" w:eastAsia="仿宋" w:cs="仿宋"/>
                <w:color w:val="auto"/>
                <w:sz w:val="24"/>
                <w:szCs w:val="24"/>
                <w:highlight w:val="none"/>
                <w:lang w:val="zh-CN" w:bidi="zh-CN"/>
              </w:rPr>
              <w:t xml:space="preserve">腿托规格：≥长</w:t>
            </w:r>
            <w:r>
              <w:rPr>
                <w:rFonts w:hint="eastAsia" w:ascii="仿宋" w:hAnsi="仿宋" w:eastAsia="仿宋" w:cs="仿宋"/>
                <w:color w:val="auto"/>
                <w:sz w:val="24"/>
                <w:szCs w:val="24"/>
                <w:highlight w:val="none"/>
                <w:lang w:bidi="zh-CN"/>
              </w:rPr>
              <w:t xml:space="preserve">10</w:t>
            </w:r>
            <w:r>
              <w:rPr>
                <w:rFonts w:hint="eastAsia" w:ascii="仿宋" w:hAnsi="仿宋" w:eastAsia="仿宋" w:cs="仿宋"/>
                <w:color w:val="auto"/>
                <w:sz w:val="24"/>
                <w:szCs w:val="24"/>
                <w:highlight w:val="none"/>
                <w:lang w:val="zh-CN" w:bidi="zh-CN"/>
              </w:rPr>
              <w:t xml:space="preserve">0mm×宽</w:t>
            </w:r>
            <w:r>
              <w:rPr>
                <w:rFonts w:hint="eastAsia" w:ascii="仿宋" w:hAnsi="仿宋" w:eastAsia="仿宋" w:cs="仿宋"/>
                <w:color w:val="auto"/>
                <w:sz w:val="24"/>
                <w:szCs w:val="24"/>
                <w:highlight w:val="none"/>
                <w:lang w:bidi="zh-CN"/>
              </w:rPr>
              <w:t xml:space="preserve">250</w:t>
            </w:r>
            <w:r>
              <w:rPr>
                <w:rFonts w:hint="eastAsia" w:ascii="仿宋" w:hAnsi="仿宋" w:eastAsia="仿宋" w:cs="仿宋"/>
                <w:color w:val="auto"/>
                <w:sz w:val="24"/>
                <w:szCs w:val="24"/>
                <w:highlight w:val="none"/>
                <w:lang w:val="zh-CN" w:bidi="zh-CN"/>
              </w:rPr>
              <w:t xml:space="preserve">mm,管材厚度≥1.</w:t>
            </w:r>
            <w:r>
              <w:rPr>
                <w:rFonts w:hint="eastAsia" w:ascii="仿宋" w:hAnsi="仿宋" w:eastAsia="仿宋" w:cs="仿宋"/>
                <w:color w:val="auto"/>
                <w:sz w:val="24"/>
                <w:szCs w:val="24"/>
                <w:highlight w:val="none"/>
                <w:lang w:bidi="zh-CN"/>
              </w:rPr>
              <w:t xml:space="preserve">2</w:t>
            </w:r>
            <w:r>
              <w:rPr>
                <w:rFonts w:hint="eastAsia" w:ascii="仿宋" w:hAnsi="仿宋" w:eastAsia="仿宋" w:cs="仿宋"/>
                <w:color w:val="auto"/>
                <w:sz w:val="24"/>
                <w:szCs w:val="24"/>
                <w:highlight w:val="none"/>
                <w:lang w:val="zh-CN" w:bidi="zh-CN"/>
              </w:rPr>
              <w:t xml:space="preserve">mm，让午休椅使用更安全更舒适。                          </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9.</w:t>
            </w:r>
            <w:r>
              <w:rPr>
                <w:rFonts w:hint="eastAsia" w:ascii="仿宋" w:hAnsi="仿宋" w:eastAsia="仿宋" w:cs="仿宋"/>
                <w:color w:val="auto"/>
                <w:sz w:val="24"/>
                <w:szCs w:val="24"/>
                <w:highlight w:val="none"/>
                <w:lang w:val="zh-CN" w:bidi="zh-CN"/>
              </w:rPr>
              <w:t xml:space="preserve">靠背功能：可躺角度≥1</w:t>
            </w:r>
            <w:r>
              <w:rPr>
                <w:rFonts w:hint="eastAsia" w:ascii="仿宋" w:hAnsi="仿宋" w:eastAsia="仿宋" w:cs="仿宋"/>
                <w:color w:val="auto"/>
                <w:sz w:val="24"/>
                <w:szCs w:val="24"/>
                <w:highlight w:val="none"/>
                <w:lang w:bidi="zh-CN"/>
              </w:rPr>
              <w:t xml:space="preserve">35</w:t>
            </w:r>
            <w:r>
              <w:rPr>
                <w:rFonts w:hint="eastAsia" w:ascii="仿宋" w:hAnsi="仿宋" w:eastAsia="仿宋" w:cs="仿宋"/>
                <w:color w:val="auto"/>
                <w:sz w:val="24"/>
                <w:szCs w:val="24"/>
                <w:highlight w:val="none"/>
                <w:lang w:val="zh-CN" w:bidi="zh-CN"/>
              </w:rPr>
              <w:t xml:space="preserve">°，</w:t>
            </w:r>
            <w:r>
              <w:rPr>
                <w:rFonts w:hint="eastAsia" w:ascii="仿宋" w:hAnsi="仿宋" w:eastAsia="仿宋" w:cs="仿宋"/>
                <w:color w:val="auto"/>
                <w:sz w:val="24"/>
                <w:szCs w:val="24"/>
                <w:highlight w:val="none"/>
                <w:lang w:bidi="zh-CN"/>
              </w:rPr>
              <w:t xml:space="preserve">可在任意角度无极调节</w:t>
            </w:r>
            <w:r>
              <w:rPr>
                <w:rFonts w:hint="eastAsia" w:ascii="仿宋" w:hAnsi="仿宋" w:eastAsia="仿宋" w:cs="仿宋"/>
                <w:color w:val="auto"/>
                <w:sz w:val="24"/>
                <w:szCs w:val="24"/>
                <w:highlight w:val="none"/>
                <w:lang w:val="zh-CN" w:bidi="zh-CN"/>
              </w:rPr>
              <w:t xml:space="preserve">，弧形靠背设计，减少脊椎和腰部压迫。操作简单便捷，反向调节可快速回复原状。</w:t>
            </w:r>
            <w:r/>
          </w:p>
          <w:p>
            <w:pPr>
              <w:jc w:val="left"/>
              <w:spacing w:line="320" w:lineRule="exact"/>
              <w:widowControl/>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bidi="zh-CN"/>
              </w:rPr>
              <w:t xml:space="preserve">10.</w:t>
            </w:r>
            <w:r>
              <w:rPr>
                <w:rFonts w:hint="eastAsia" w:ascii="仿宋" w:hAnsi="仿宋" w:eastAsia="仿宋" w:cs="仿宋"/>
                <w:color w:val="auto"/>
                <w:sz w:val="24"/>
                <w:szCs w:val="24"/>
                <w:highlight w:val="none"/>
                <w:lang w:val="zh-CN" w:bidi="zh-CN"/>
              </w:rPr>
              <w:t xml:space="preserve">座椅头枕，采用环保 </w:t>
            </w:r>
            <w:r>
              <w:rPr>
                <w:rFonts w:hint="eastAsia" w:ascii="仿宋" w:hAnsi="仿宋" w:eastAsia="仿宋" w:cs="仿宋"/>
                <w:color w:val="auto"/>
                <w:sz w:val="24"/>
                <w:szCs w:val="24"/>
                <w:highlight w:val="none"/>
              </w:rPr>
              <w:t xml:space="preserve">PP塑料一级新料一体注塑成型，抗压，耐磨，耐冲击，强韧，不脆裂。</w:t>
            </w:r>
            <w:r>
              <w:rPr>
                <w:rFonts w:hint="eastAsia" w:ascii="仿宋" w:hAnsi="仿宋" w:eastAsia="仿宋" w:cs="仿宋"/>
                <w:color w:val="auto"/>
                <w:sz w:val="24"/>
                <w:szCs w:val="24"/>
                <w:highlight w:val="none"/>
                <w:lang w:val="zh-CN" w:bidi="zh-CN"/>
              </w:rPr>
              <w:t xml:space="preserve">头枕规格：≥</w:t>
            </w:r>
            <w:r>
              <w:rPr>
                <w:rFonts w:hint="eastAsia" w:ascii="仿宋" w:hAnsi="仿宋" w:eastAsia="仿宋" w:cs="仿宋"/>
                <w:color w:val="auto"/>
                <w:sz w:val="24"/>
                <w:szCs w:val="24"/>
                <w:highlight w:val="none"/>
                <w:lang w:bidi="zh-CN"/>
              </w:rPr>
              <w:t xml:space="preserve">长10</w:t>
            </w:r>
            <w:r>
              <w:rPr>
                <w:rFonts w:hint="eastAsia" w:ascii="仿宋" w:hAnsi="仿宋" w:eastAsia="仿宋" w:cs="仿宋"/>
                <w:color w:val="auto"/>
                <w:sz w:val="24"/>
                <w:szCs w:val="24"/>
                <w:highlight w:val="none"/>
                <w:lang w:val="zh-CN" w:bidi="zh-CN"/>
              </w:rPr>
              <w:t xml:space="preserve">0mm×</w:t>
            </w:r>
            <w:r>
              <w:rPr>
                <w:rFonts w:hint="eastAsia" w:ascii="仿宋" w:hAnsi="仿宋" w:eastAsia="仿宋" w:cs="仿宋"/>
                <w:color w:val="auto"/>
                <w:sz w:val="24"/>
                <w:szCs w:val="24"/>
                <w:highlight w:val="none"/>
                <w:lang w:bidi="zh-CN"/>
              </w:rPr>
              <w:t xml:space="preserve">宽180</w:t>
            </w:r>
            <w:r>
              <w:rPr>
                <w:rFonts w:hint="eastAsia" w:ascii="仿宋" w:hAnsi="仿宋" w:eastAsia="仿宋" w:cs="仿宋"/>
                <w:color w:val="auto"/>
                <w:sz w:val="24"/>
                <w:szCs w:val="24"/>
                <w:highlight w:val="none"/>
                <w:lang w:val="zh-CN" w:bidi="zh-CN"/>
              </w:rPr>
              <w:t xml:space="preserve">mm（公差±5mm）。表面带防滑、透气</w:t>
            </w:r>
            <w:r>
              <w:rPr>
                <w:rFonts w:hint="eastAsia" w:ascii="仿宋" w:hAnsi="仿宋" w:eastAsia="仿宋" w:cs="仿宋"/>
                <w:color w:val="auto"/>
                <w:sz w:val="24"/>
                <w:szCs w:val="24"/>
                <w:highlight w:val="none"/>
                <w:lang w:bidi="zh-CN"/>
              </w:rPr>
              <w:t xml:space="preserve">功能</w:t>
            </w:r>
            <w:r>
              <w:rPr>
                <w:rFonts w:hint="eastAsia" w:ascii="仿宋" w:hAnsi="仿宋" w:eastAsia="仿宋" w:cs="仿宋"/>
                <w:color w:val="auto"/>
                <w:sz w:val="24"/>
                <w:szCs w:val="24"/>
                <w:highlight w:val="none"/>
                <w:lang w:val="zh-CN" w:bidi="zh-CN"/>
              </w:rPr>
              <w:t xml:space="preserve">。</w:t>
            </w:r>
            <w:r>
              <w:rPr>
                <w:rFonts w:hint="eastAsia" w:ascii="仿宋" w:hAnsi="仿宋" w:eastAsia="仿宋" w:cs="仿宋"/>
                <w:color w:val="auto"/>
                <w:sz w:val="24"/>
                <w:szCs w:val="24"/>
                <w:highlight w:val="none"/>
                <w:lang w:val="zh-CN"/>
              </w:rPr>
              <w:t xml:space="preserve">头枕可以收纳行程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00</w:t>
            </w:r>
            <w:r>
              <w:rPr>
                <w:rFonts w:hint="eastAsia" w:ascii="仿宋" w:hAnsi="仿宋" w:eastAsia="仿宋" w:cs="仿宋"/>
                <w:color w:val="auto"/>
                <w:sz w:val="24"/>
                <w:szCs w:val="24"/>
                <w:highlight w:val="none"/>
                <w:lang w:val="zh-CN"/>
              </w:rPr>
              <w:t xml:space="preserve">mm（</w:t>
            </w:r>
            <w:r>
              <w:rPr>
                <w:rFonts w:hint="eastAsia" w:ascii="仿宋" w:hAnsi="仿宋" w:eastAsia="仿宋" w:cs="仿宋"/>
                <w:color w:val="auto"/>
                <w:sz w:val="24"/>
                <w:szCs w:val="24"/>
                <w:highlight w:val="none"/>
              </w:rPr>
              <w:t xml:space="preserve">为防止阻碍后排学生的视线，要求可收纳</w:t>
            </w:r>
            <w:r>
              <w:rPr>
                <w:rFonts w:hint="eastAsia" w:ascii="仿宋" w:hAnsi="仿宋" w:eastAsia="仿宋" w:cs="仿宋"/>
                <w:color w:val="auto"/>
                <w:sz w:val="24"/>
                <w:szCs w:val="24"/>
                <w:highlight w:val="none"/>
                <w:lang w:val="zh-CN"/>
              </w:rPr>
              <w:t xml:space="preserve">）。靠背放倒时，可以枕住头部和颈部，收起时可以顶住背部，用以矫正坐姿。</w:t>
            </w:r>
            <w:r/>
          </w:p>
          <w:p>
            <w:pPr>
              <w:jc w:val="left"/>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11.</w:t>
            </w:r>
            <w:r>
              <w:rPr>
                <w:rFonts w:hint="eastAsia" w:ascii="仿宋" w:hAnsi="仿宋" w:eastAsia="仿宋" w:cs="仿宋"/>
                <w:color w:val="auto"/>
                <w:sz w:val="24"/>
                <w:szCs w:val="24"/>
                <w:highlight w:val="none"/>
                <w:lang w:val="zh-CN"/>
              </w:rPr>
              <w:t xml:space="preserve">课椅午休状态下总长≥1050mm</w:t>
            </w:r>
            <w:r>
              <w:rPr>
                <w:rFonts w:hint="eastAsia" w:ascii="仿宋" w:hAnsi="仿宋" w:eastAsia="仿宋" w:cs="仿宋"/>
                <w:color w:val="auto"/>
                <w:sz w:val="24"/>
                <w:szCs w:val="24"/>
                <w:highlight w:val="none"/>
                <w:lang w:bidi="zh-CN"/>
              </w:rPr>
              <w:t xml:space="preserve">。</w:t>
            </w:r>
            <w:r/>
          </w:p>
          <w:p>
            <w:pPr>
              <w:jc w:val="left"/>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12.生产工艺：</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焊接：钢管焊接均采用二氧化碳保护焊工艺。要求焊接表面波纹均匀，焊接处无夹渣、气孔、焊瘤、焊丝咬边和飞溅，无脱焊、虚焊和焊空现象。</w:t>
            </w:r>
            <w:r/>
          </w:p>
          <w:p>
            <w:pPr>
              <w:jc w:val="left"/>
              <w:spacing w:line="320" w:lineRule="exact"/>
              <w:widowControl/>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表面涂装与喷塑： 表面采用静电喷塑工艺。使用一级颗粒粉末，经高温粉体烤漆固化成型。</w:t>
            </w:r>
            <w:r/>
          </w:p>
          <w:p>
            <w:pPr>
              <w:jc w:val="left"/>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13.外观与质量要求：</w:t>
            </w:r>
            <w:r/>
          </w:p>
          <w:p>
            <w:pPr>
              <w:jc w:val="left"/>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喷塑涂层： 表面颜色光亮均匀（与桌面色板协调），光洁平整。需无漏喷、锈蚀；无颗粒渣点、无流挂、疙瘩、皱皮、飞漆；涂层平整光滑、清晰，无明显粒子、涨边现象；应无明显加工痕迹、划痕、雾光、白棱、白点、鼓泡、油白、流挂、缩孔、刷毛、积粉和杂渣。确保不脱漆。</w:t>
            </w:r>
            <w:r/>
          </w:p>
          <w:p>
            <w:pPr>
              <w:jc w:val="left"/>
              <w:spacing w:line="320" w:lineRule="exact"/>
              <w:widowControl/>
              <w:rPr>
                <w:rFonts w:ascii="仿宋" w:hAnsi="仿宋" w:eastAsia="仿宋" w:cs="仿宋"/>
                <w:b/>
                <w:bCs/>
                <w:i/>
                <w:iCs/>
                <w:color w:val="auto"/>
                <w:sz w:val="24"/>
                <w:szCs w:val="24"/>
                <w:highlight w:val="none"/>
                <w:u w:val="single"/>
                <w:lang w:val="zh-CN" w:bidi="zh-CN"/>
              </w:rPr>
            </w:pPr>
            <w:r>
              <w:rPr>
                <w:rFonts w:hint="eastAsia" w:ascii="仿宋" w:hAnsi="仿宋" w:eastAsia="仿宋" w:cs="仿宋"/>
                <w:b/>
                <w:bCs/>
                <w:i/>
                <w:iCs/>
                <w:color w:val="auto"/>
                <w:sz w:val="24"/>
                <w:szCs w:val="24"/>
                <w:highlight w:val="none"/>
                <w:u w:val="single"/>
                <w:lang w:bidi="zh-CN"/>
              </w:rPr>
              <w:t xml:space="preserve">14.</w:t>
            </w:r>
            <w:r>
              <w:rPr>
                <w:rFonts w:hint="eastAsia" w:ascii="仿宋" w:hAnsi="仿宋" w:eastAsia="仿宋" w:cs="仿宋"/>
                <w:b/>
                <w:bCs/>
                <w:i/>
                <w:iCs/>
                <w:color w:val="auto"/>
                <w:sz w:val="24"/>
                <w:szCs w:val="24"/>
                <w:highlight w:val="none"/>
                <w:u w:val="single"/>
                <w:lang w:val="zh-CN" w:bidi="zh-CN"/>
              </w:rPr>
              <w:t xml:space="preserve">需提供</w:t>
            </w:r>
            <w:r>
              <w:rPr>
                <w:rFonts w:hint="eastAsia" w:ascii="仿宋" w:hAnsi="仿宋" w:eastAsia="仿宋" w:cs="仿宋"/>
                <w:b/>
                <w:bCs/>
                <w:i/>
                <w:iCs/>
                <w:color w:val="auto"/>
                <w:sz w:val="24"/>
                <w:szCs w:val="24"/>
                <w:highlight w:val="none"/>
                <w:u w:val="single"/>
                <w:lang w:val="en-US" w:bidi="zh-CN"/>
              </w:rPr>
              <w:t xml:space="preserve">所投产品</w:t>
            </w:r>
            <w:r>
              <w:rPr>
                <w:rFonts w:hint="eastAsia" w:ascii="仿宋" w:hAnsi="仿宋" w:eastAsia="仿宋" w:cs="仿宋"/>
                <w:b/>
                <w:bCs/>
                <w:i/>
                <w:iCs/>
                <w:color w:val="auto"/>
                <w:sz w:val="24"/>
                <w:szCs w:val="24"/>
                <w:highlight w:val="none"/>
                <w:u w:val="single"/>
                <w:lang w:val="zh-CN" w:bidi="zh-CN"/>
              </w:rPr>
              <w:t xml:space="preserve">具有“CMA”标识的权威检验机构出具的且符合以下标准的检测报告清晰扫描件（以下</w:t>
            </w:r>
            <w:r>
              <w:rPr>
                <w:rFonts w:hint="eastAsia" w:ascii="仿宋" w:hAnsi="仿宋" w:eastAsia="仿宋" w:cs="仿宋"/>
                <w:b/>
                <w:bCs/>
                <w:i/>
                <w:iCs/>
                <w:color w:val="auto"/>
                <w:sz w:val="24"/>
                <w:szCs w:val="24"/>
                <w:highlight w:val="none"/>
                <w:u w:val="single"/>
                <w:lang w:val="en-US" w:bidi="zh-CN"/>
              </w:rPr>
              <w:t xml:space="preserve">2</w:t>
            </w:r>
            <w:r>
              <w:rPr>
                <w:rFonts w:hint="eastAsia" w:ascii="仿宋" w:hAnsi="仿宋" w:eastAsia="仿宋" w:cs="仿宋"/>
                <w:b/>
                <w:bCs/>
                <w:i/>
                <w:iCs/>
                <w:color w:val="auto"/>
                <w:sz w:val="24"/>
                <w:szCs w:val="24"/>
                <w:highlight w:val="none"/>
                <w:u w:val="single"/>
                <w:lang w:val="zh-CN" w:bidi="zh-CN"/>
              </w:rPr>
              <w:t xml:space="preserve">项为实质性响应条件，未提供视为无效投标）。</w:t>
            </w:r>
            <w:r/>
          </w:p>
          <w:p>
            <w:pPr>
              <w:jc w:val="left"/>
              <w:spacing w:line="320" w:lineRule="exact"/>
              <w:widowControl/>
              <w:rPr>
                <w:rFonts w:ascii="仿宋" w:hAnsi="仿宋" w:eastAsia="仿宋" w:cs="仿宋"/>
                <w:b/>
                <w:bCs/>
                <w:i/>
                <w:iCs/>
                <w:color w:val="auto"/>
                <w:sz w:val="24"/>
                <w:szCs w:val="24"/>
                <w:highlight w:val="none"/>
                <w:u w:val="single"/>
                <w:lang w:val="zh-CN" w:bidi="zh-CN"/>
              </w:rPr>
            </w:pPr>
            <w:r>
              <w:rPr>
                <w:rFonts w:hint="eastAsia" w:ascii="仿宋" w:hAnsi="仿宋" w:eastAsia="仿宋" w:cs="仿宋"/>
                <w:b/>
                <w:bCs/>
                <w:i/>
                <w:iCs/>
                <w:color w:val="auto"/>
                <w:sz w:val="24"/>
                <w:szCs w:val="24"/>
                <w:highlight w:val="none"/>
                <w:u w:val="single"/>
                <w:lang w:val="zh-CN" w:bidi="zh-CN"/>
              </w:rPr>
              <w:t xml:space="preserve">（1）GB 18584-2024《家具中有害物质限量》</w:t>
            </w:r>
            <w:r/>
          </w:p>
          <w:p>
            <w:pPr>
              <w:jc w:val="left"/>
              <w:spacing w:line="320" w:lineRule="exact"/>
              <w:widowControl/>
              <w:rPr>
                <w:rFonts w:ascii="仿宋" w:hAnsi="仿宋" w:eastAsia="仿宋" w:cs="仿宋"/>
                <w:color w:val="auto"/>
                <w:sz w:val="24"/>
                <w:szCs w:val="24"/>
                <w:highlight w:val="none"/>
              </w:rPr>
            </w:pPr>
            <w:r>
              <w:rPr>
                <w:rFonts w:hint="eastAsia" w:ascii="仿宋" w:hAnsi="仿宋" w:eastAsia="仿宋" w:cs="仿宋"/>
                <w:b/>
                <w:bCs/>
                <w:i/>
                <w:iCs/>
                <w:color w:val="auto"/>
                <w:sz w:val="24"/>
                <w:szCs w:val="24"/>
                <w:highlight w:val="none"/>
                <w:u w:val="single"/>
                <w:lang w:val="zh-CN" w:bidi="zh-CN"/>
              </w:rPr>
              <w:t xml:space="preserve">（2）GB 28008-2024《家具结构安全技术规范》</w:t>
            </w:r>
            <w:r/>
          </w:p>
        </w:tc>
      </w:tr>
    </w:tbl>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（四）采购标的的数量、采购项目交付或者实施的时间和地点；</w:t>
      </w:r>
      <w:r/>
    </w:p>
    <w:p>
      <w:pPr>
        <w:ind w:firstLine="42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1、数量：</w:t>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3"/>
        <w:gridCol w:w="2880"/>
        <w:gridCol w:w="3633"/>
        <w:gridCol w:w="720"/>
        <w:gridCol w:w="812"/>
      </w:tblGrid>
      <w:tr>
        <w:trPr>
          <w:jc w:val="center"/>
        </w:trPr>
        <w:tc>
          <w:tcPr>
            <w:tcW w:w="1123"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标段</w:t>
            </w:r>
            <w:r/>
          </w:p>
        </w:tc>
        <w:tc>
          <w:tcPr>
            <w:tcW w:w="2880"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学校名称</w:t>
            </w:r>
            <w:r/>
          </w:p>
        </w:tc>
        <w:tc>
          <w:tcPr>
            <w:tcW w:w="3633"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货物名称</w:t>
            </w:r>
            <w:r/>
          </w:p>
        </w:tc>
        <w:tc>
          <w:tcPr>
            <w:tcW w:w="720"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单位</w:t>
            </w:r>
            <w:r/>
          </w:p>
        </w:tc>
        <w:tc>
          <w:tcPr>
            <w:tcW w:w="812"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数量</w:t>
            </w:r>
            <w:r/>
          </w:p>
        </w:tc>
      </w:tr>
      <w:tr>
        <w:trPr>
          <w:jc w:val="center"/>
        </w:trPr>
        <w:tc>
          <w:tcPr>
            <w:tcW w:w="1123"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采购包1</w:t>
            </w:r>
            <w:r/>
          </w:p>
        </w:tc>
        <w:tc>
          <w:tcPr>
            <w:tcW w:w="2880"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新区初中、宾山初中、少体校</w:t>
            </w:r>
            <w:r/>
          </w:p>
        </w:tc>
        <w:tc>
          <w:tcPr>
            <w:tcW w:w="3633"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午休课桌椅（包括课桌、</w:t>
            </w:r>
            <w:r>
              <w:rPr>
                <w:rFonts w:hint="eastAsia" w:ascii="仿宋" w:hAnsi="仿宋" w:eastAsia="仿宋" w:cs="仿宋"/>
                <w:color w:val="auto"/>
                <w:sz w:val="24"/>
                <w:szCs w:val="24"/>
                <w:highlight w:val="none"/>
              </w:rPr>
              <w:t xml:space="preserve">座椅</w:t>
            </w:r>
            <w:r>
              <w:rPr>
                <w:rFonts w:hint="eastAsia" w:ascii="仿宋" w:hAnsi="仿宋" w:eastAsia="仿宋" w:cs="仿宋"/>
                <w:color w:val="auto"/>
                <w:sz w:val="24"/>
                <w:szCs w:val="24"/>
                <w:highlight w:val="none"/>
                <w:lang w:bidi="zh-CN"/>
              </w:rPr>
              <w:t xml:space="preserve">）</w:t>
            </w:r>
            <w:r/>
          </w:p>
        </w:tc>
        <w:tc>
          <w:tcPr>
            <w:tcW w:w="720"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套</w:t>
            </w:r>
            <w:r/>
          </w:p>
        </w:tc>
        <w:tc>
          <w:tcPr>
            <w:tcW w:w="812"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3787</w:t>
            </w:r>
            <w:r/>
          </w:p>
        </w:tc>
      </w:tr>
      <w:tr>
        <w:trPr>
          <w:jc w:val="center"/>
        </w:trPr>
        <w:tc>
          <w:tcPr>
            <w:tcW w:w="1123"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采购包2</w:t>
            </w:r>
            <w:r/>
          </w:p>
        </w:tc>
        <w:tc>
          <w:tcPr>
            <w:tcW w:w="2880"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曹埠初中、新光初中、邱陞中学、马塘中学、童店初中、洋口港实验初中、兵房初中</w:t>
            </w:r>
            <w:r/>
          </w:p>
        </w:tc>
        <w:tc>
          <w:tcPr>
            <w:tcW w:w="3633"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午休课桌椅（包括课桌、</w:t>
            </w:r>
            <w:r>
              <w:rPr>
                <w:rFonts w:hint="eastAsia" w:ascii="仿宋" w:hAnsi="仿宋" w:eastAsia="仿宋" w:cs="仿宋"/>
                <w:color w:val="auto"/>
                <w:sz w:val="24"/>
                <w:szCs w:val="24"/>
                <w:highlight w:val="none"/>
              </w:rPr>
              <w:t xml:space="preserve">座椅</w:t>
            </w:r>
            <w:r>
              <w:rPr>
                <w:rFonts w:hint="eastAsia" w:ascii="仿宋" w:hAnsi="仿宋" w:eastAsia="仿宋" w:cs="仿宋"/>
                <w:color w:val="auto"/>
                <w:sz w:val="24"/>
                <w:szCs w:val="24"/>
                <w:highlight w:val="none"/>
                <w:lang w:bidi="zh-CN"/>
              </w:rPr>
              <w:t xml:space="preserve">）</w:t>
            </w:r>
            <w:r/>
          </w:p>
        </w:tc>
        <w:tc>
          <w:tcPr>
            <w:tcW w:w="720"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套</w:t>
            </w:r>
            <w:r/>
          </w:p>
        </w:tc>
        <w:tc>
          <w:tcPr>
            <w:tcW w:w="812"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3208</w:t>
            </w:r>
            <w:r/>
          </w:p>
        </w:tc>
      </w:tr>
      <w:tr>
        <w:trPr>
          <w:jc w:val="center"/>
        </w:trPr>
        <w:tc>
          <w:tcPr>
            <w:tcW w:w="1123"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采购包3</w:t>
            </w:r>
            <w:r/>
          </w:p>
        </w:tc>
        <w:tc>
          <w:tcPr>
            <w:tcW w:w="2880"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rPr>
              <w:t xml:space="preserve">直夫初中、景安初中、于港初中、丰利中学、岔河中学、新店初中</w:t>
            </w:r>
            <w:r/>
          </w:p>
        </w:tc>
        <w:tc>
          <w:tcPr>
            <w:tcW w:w="3633"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午休课桌椅（包括课桌、</w:t>
            </w:r>
            <w:r>
              <w:rPr>
                <w:rFonts w:hint="eastAsia" w:ascii="仿宋" w:hAnsi="仿宋" w:eastAsia="仿宋" w:cs="仿宋"/>
                <w:color w:val="auto"/>
                <w:sz w:val="24"/>
                <w:szCs w:val="24"/>
                <w:highlight w:val="none"/>
              </w:rPr>
              <w:t xml:space="preserve">座椅</w:t>
            </w:r>
            <w:r>
              <w:rPr>
                <w:rFonts w:hint="eastAsia" w:ascii="仿宋" w:hAnsi="仿宋" w:eastAsia="仿宋" w:cs="仿宋"/>
                <w:color w:val="auto"/>
                <w:sz w:val="24"/>
                <w:szCs w:val="24"/>
                <w:highlight w:val="none"/>
                <w:lang w:bidi="zh-CN"/>
              </w:rPr>
              <w:t xml:space="preserve">）</w:t>
            </w:r>
            <w:r/>
          </w:p>
        </w:tc>
        <w:tc>
          <w:tcPr>
            <w:tcW w:w="720"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套</w:t>
            </w:r>
            <w:r/>
          </w:p>
        </w:tc>
        <w:tc>
          <w:tcPr>
            <w:tcW w:w="812"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3152</w:t>
            </w:r>
            <w:r/>
          </w:p>
        </w:tc>
      </w:tr>
      <w:tr>
        <w:trPr>
          <w:jc w:val="center"/>
        </w:trPr>
        <w:tc>
          <w:tcPr>
            <w:tcW w:w="1123"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采购包4</w:t>
            </w:r>
            <w:r/>
          </w:p>
        </w:tc>
        <w:tc>
          <w:tcPr>
            <w:tcW w:w="2880" w:type="dxa"/>
            <w:vAlign w:val="center"/>
            <w:textDirection w:val="lrTb"/>
            <w:noWrap w:val="false"/>
          </w:tcPr>
          <w:p>
            <w:pPr>
              <w:jc w:val="center"/>
              <w:spacing w:line="32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栟茶初中、洋口初中、古坳初中、双甸中学、袁庄中学、先民初中</w:t>
            </w:r>
            <w:r/>
          </w:p>
        </w:tc>
        <w:tc>
          <w:tcPr>
            <w:tcW w:w="3633"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午休课桌椅（包括课桌、</w:t>
            </w:r>
            <w:r>
              <w:rPr>
                <w:rFonts w:hint="eastAsia" w:ascii="仿宋" w:hAnsi="仿宋" w:eastAsia="仿宋" w:cs="仿宋"/>
                <w:color w:val="auto"/>
                <w:sz w:val="24"/>
                <w:szCs w:val="24"/>
                <w:highlight w:val="none"/>
              </w:rPr>
              <w:t xml:space="preserve">座椅</w:t>
            </w:r>
            <w:r>
              <w:rPr>
                <w:rFonts w:hint="eastAsia" w:ascii="仿宋" w:hAnsi="仿宋" w:eastAsia="仿宋" w:cs="仿宋"/>
                <w:color w:val="auto"/>
                <w:sz w:val="24"/>
                <w:szCs w:val="24"/>
                <w:highlight w:val="none"/>
                <w:lang w:bidi="zh-CN"/>
              </w:rPr>
              <w:t xml:space="preserve">）</w:t>
            </w:r>
            <w:r/>
          </w:p>
        </w:tc>
        <w:tc>
          <w:tcPr>
            <w:tcW w:w="720"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套</w:t>
            </w:r>
            <w:r/>
          </w:p>
        </w:tc>
        <w:tc>
          <w:tcPr>
            <w:tcW w:w="812" w:type="dxa"/>
            <w:vAlign w:val="center"/>
            <w:textDirection w:val="lrTb"/>
            <w:noWrap w:val="false"/>
          </w:tcPr>
          <w:p>
            <w:pPr>
              <w:jc w:val="center"/>
              <w:spacing w:line="32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3253</w:t>
            </w:r>
            <w:r/>
          </w:p>
        </w:tc>
      </w:tr>
    </w:tbl>
    <w:p>
      <w:pPr>
        <w:ind w:firstLine="42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、合同履行期限</w:t>
      </w:r>
      <w:r>
        <w:rPr>
          <w:rFonts w:ascii="仿宋" w:hAnsi="仿宋" w:eastAsia="仿宋" w:cs="仿宋"/>
          <w:color w:val="auto"/>
          <w:sz w:val="24"/>
          <w:szCs w:val="24"/>
          <w:highlight w:val="none"/>
        </w:rPr>
        <w:t xml:space="preserve">：</w:t>
      </w:r>
      <w:r>
        <w:rPr>
          <w:rFonts w:hint="eastAsia" w:ascii="仿宋" w:hAnsi="仿宋" w:eastAsia="仿宋" w:cs="仿宋"/>
          <w:i/>
          <w:iCs/>
          <w:color w:val="auto"/>
          <w:sz w:val="24"/>
          <w:szCs w:val="24"/>
          <w:highlight w:val="none"/>
          <w:u w:val="single"/>
        </w:rPr>
        <w:t xml:space="preserve">中标供应商须在合同签订后30个日历天内完成整个项目，保证所有午休课桌椅均能正常使用。如未按时完工，每延迟一天按合同总价的0.3%每天累计计算从合同款中扣除。</w:t>
      </w:r>
      <w:r>
        <w:rPr>
          <w:rFonts w:hint="eastAsia" w:ascii="仿宋" w:hAnsi="仿宋" w:eastAsia="仿宋" w:cs="仿宋"/>
          <w:b/>
          <w:bCs/>
          <w:i/>
          <w:iCs/>
          <w:color w:val="auto"/>
          <w:sz w:val="24"/>
          <w:szCs w:val="24"/>
          <w:highlight w:val="none"/>
          <w:u w:val="single"/>
        </w:rPr>
        <w:t xml:space="preserve">供应商须提供加盖公司公章的承诺函放入投标文件中，作为响应条件，否则视为无效投标</w:t>
      </w:r>
      <w:r>
        <w:rPr>
          <w:rFonts w:ascii="仿宋" w:hAnsi="仿宋" w:eastAsia="仿宋" w:cs="仿宋"/>
          <w:b/>
          <w:bCs/>
          <w:i/>
          <w:iCs/>
          <w:color w:val="auto"/>
          <w:sz w:val="24"/>
          <w:szCs w:val="24"/>
          <w:highlight w:val="none"/>
          <w:u w:val="single"/>
        </w:rPr>
        <w:t xml:space="preserve">。</w:t>
      </w:r>
      <w:r>
        <w:rPr>
          <w:rFonts w:hint="eastAsia" w:ascii="仿宋" w:hAnsi="仿宋" w:eastAsia="仿宋" w:cs="仿宋"/>
          <w:b/>
          <w:bCs/>
          <w:i/>
          <w:iCs/>
          <w:color w:val="auto"/>
          <w:sz w:val="24"/>
          <w:szCs w:val="24"/>
          <w:highlight w:val="none"/>
          <w:u w:val="single"/>
        </w:rPr>
        <w:t xml:space="preserve">如供应商逾期交付达7天，采购人有权解除合同。</w:t>
      </w:r>
      <w:r/>
    </w:p>
    <w:p>
      <w:pPr>
        <w:ind w:firstLine="42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交货（服务）地点</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本项目为全县集中招标采购，具体安装地点分散在全县22所初中教学教室内，中标人必须在约定时间内，按照采购人指定具体地点，分校送货到指定场地，并负责安装到位，所有运输、装卸和安装等费用由中标人负责（包括原有旧课桌凳搬运和码放）。采购人组织现场验收，检验不合格或不符合质量要求，中标人除无条件退货、返工外，还应承担采购人的一切损失</w:t>
      </w:r>
      <w:r>
        <w:rPr>
          <w:rFonts w:ascii="仿宋" w:hAnsi="仿宋" w:eastAsia="仿宋" w:cs="仿宋"/>
          <w:color w:val="auto"/>
          <w:sz w:val="24"/>
          <w:szCs w:val="24"/>
          <w:highlight w:val="none"/>
        </w:rPr>
        <w:t xml:space="preserve">。</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（五）采购标的需满足的服务标准、期限、效率等要求；</w:t>
      </w:r>
      <w:r/>
    </w:p>
    <w:p>
      <w:pPr>
        <w:ind w:firstLine="420"/>
        <w:spacing w:line="400" w:lineRule="exact"/>
        <w:rPr>
          <w:rFonts w:ascii="仿宋" w:hAnsi="仿宋" w:eastAsia="仿宋" w:cs="仿宋"/>
          <w:b/>
          <w:bCs/>
          <w:i/>
          <w:iCs/>
          <w:color w:val="auto"/>
          <w:sz w:val="24"/>
          <w:szCs w:val="24"/>
          <w:highlight w:val="none"/>
          <w:u w:val="single"/>
        </w:rPr>
      </w:pPr>
      <w:r>
        <w:rPr>
          <w:rFonts w:hint="eastAsia" w:ascii="仿宋" w:hAnsi="仿宋" w:eastAsia="仿宋" w:cs="仿宋"/>
          <w:b/>
          <w:bCs/>
          <w:i/>
          <w:iCs/>
          <w:color w:val="auto"/>
          <w:sz w:val="24"/>
          <w:szCs w:val="24"/>
          <w:highlight w:val="none"/>
          <w:u w:val="single"/>
        </w:rPr>
        <w:t xml:space="preserve">1、所投产品必须是全新产品。</w:t>
      </w:r>
      <w:r/>
    </w:p>
    <w:p>
      <w:pPr>
        <w:ind w:firstLine="420"/>
        <w:spacing w:line="400" w:lineRule="exact"/>
        <w:rPr>
          <w:rFonts w:ascii="仿宋" w:hAnsi="仿宋" w:eastAsia="仿宋" w:cs="仿宋"/>
          <w:b/>
          <w:bCs/>
          <w:i/>
          <w:iCs/>
          <w:color w:val="auto"/>
          <w:sz w:val="24"/>
          <w:szCs w:val="24"/>
          <w:highlight w:val="none"/>
          <w:u w:val="single"/>
        </w:rPr>
      </w:pPr>
      <w:r>
        <w:rPr>
          <w:rFonts w:hint="eastAsia" w:ascii="仿宋" w:hAnsi="仿宋" w:eastAsia="仿宋" w:cs="仿宋"/>
          <w:b/>
          <w:bCs/>
          <w:i/>
          <w:iCs/>
          <w:color w:val="auto"/>
          <w:sz w:val="24"/>
          <w:szCs w:val="24"/>
          <w:highlight w:val="none"/>
          <w:u w:val="single"/>
        </w:rPr>
        <w:t xml:space="preserve">2、所供产品的颜色与款式等最终由采购人确定后才可确定或生产，中标供应商应提供色板，让采购人选择午休课桌椅的配色（无条件服从采购人要求）。</w:t>
      </w:r>
      <w:r/>
    </w:p>
    <w:p>
      <w:pPr>
        <w:ind w:firstLine="420"/>
        <w:spacing w:line="400" w:lineRule="exact"/>
        <w:rPr>
          <w:rFonts w:ascii="仿宋" w:hAnsi="仿宋" w:eastAsia="仿宋" w:cs="仿宋"/>
          <w:b/>
          <w:bCs/>
          <w:i/>
          <w:iCs/>
          <w:color w:val="auto"/>
          <w:sz w:val="24"/>
          <w:szCs w:val="24"/>
          <w:highlight w:val="none"/>
          <w:u w:val="single"/>
        </w:rPr>
      </w:pPr>
      <w:r>
        <w:rPr>
          <w:rFonts w:ascii="仿宋" w:hAnsi="仿宋" w:eastAsia="仿宋" w:cs="仿宋"/>
          <w:b/>
          <w:bCs/>
          <w:i/>
          <w:iCs/>
          <w:color w:val="auto"/>
          <w:sz w:val="24"/>
          <w:szCs w:val="24"/>
          <w:highlight w:val="none"/>
          <w:u w:val="single"/>
        </w:rPr>
        <w:t xml:space="preserve">3</w:t>
      </w:r>
      <w:r>
        <w:rPr>
          <w:rFonts w:hint="eastAsia" w:ascii="仿宋" w:hAnsi="仿宋" w:eastAsia="仿宋" w:cs="仿宋"/>
          <w:b/>
          <w:bCs/>
          <w:i/>
          <w:iCs/>
          <w:color w:val="auto"/>
          <w:sz w:val="24"/>
          <w:szCs w:val="24"/>
          <w:highlight w:val="none"/>
          <w:u w:val="single"/>
        </w:rPr>
        <w:t xml:space="preserve">、中标供应商应根据各学校教室实际尺寸摆放不少于5</w:t>
      </w:r>
      <w:r>
        <w:rPr>
          <w:rFonts w:ascii="仿宋" w:hAnsi="仿宋" w:eastAsia="仿宋" w:cs="仿宋"/>
          <w:b/>
          <w:bCs/>
          <w:i/>
          <w:iCs/>
          <w:color w:val="auto"/>
          <w:sz w:val="24"/>
          <w:szCs w:val="24"/>
          <w:highlight w:val="none"/>
          <w:u w:val="single"/>
        </w:rPr>
        <w:t xml:space="preserve">2套午休课桌椅，在不移动课桌位置的情形下能全部实现午休模式</w:t>
      </w:r>
      <w:r>
        <w:rPr>
          <w:rFonts w:hint="eastAsia" w:ascii="仿宋" w:hAnsi="仿宋" w:eastAsia="仿宋" w:cs="仿宋"/>
          <w:b/>
          <w:bCs/>
          <w:i/>
          <w:iCs/>
          <w:color w:val="auto"/>
          <w:sz w:val="24"/>
          <w:szCs w:val="24"/>
          <w:highlight w:val="none"/>
          <w:u w:val="single"/>
        </w:rPr>
        <w:t xml:space="preserve">。</w:t>
      </w:r>
      <w:r/>
    </w:p>
    <w:p>
      <w:pPr>
        <w:ind w:firstLine="420"/>
        <w:spacing w:line="400" w:lineRule="exact"/>
        <w:rPr>
          <w:rFonts w:ascii="仿宋" w:hAnsi="仿宋" w:eastAsia="仿宋" w:cs="仿宋"/>
          <w:b/>
          <w:bCs/>
          <w:color w:val="auto"/>
          <w:sz w:val="24"/>
          <w:szCs w:val="24"/>
          <w:highlight w:val="none"/>
        </w:rPr>
      </w:pPr>
      <w:r>
        <w:rPr>
          <w:rFonts w:hint="eastAsia" w:ascii="仿宋" w:hAnsi="仿宋" w:eastAsia="仿宋" w:cs="仿宋"/>
          <w:b/>
          <w:bCs/>
          <w:i/>
          <w:iCs/>
          <w:color w:val="auto"/>
          <w:sz w:val="24"/>
          <w:szCs w:val="24"/>
          <w:highlight w:val="none"/>
          <w:u w:val="single"/>
        </w:rPr>
        <w:t xml:space="preserve">4、本项目免费质保期：三年（包括原厂质保和要求中标人上门提供的所有技术服务，自交货并验收合格之日起计）。</w:t>
      </w:r>
      <w:r>
        <w:rPr>
          <w:rFonts w:hint="eastAsia" w:ascii="仿宋" w:hAnsi="仿宋" w:eastAsia="仿宋" w:cs="仿宋"/>
          <w:b/>
          <w:bCs/>
          <w:color w:val="auto"/>
          <w:sz w:val="24"/>
          <w:szCs w:val="24"/>
          <w:highlight w:val="none"/>
        </w:rPr>
        <w:t xml:space="preserve">注：按照投标文件承诺函内容、期限完成质保服务。</w:t>
      </w:r>
      <w:r/>
    </w:p>
    <w:p>
      <w:pPr>
        <w:ind w:firstLine="42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安全责任：中标供应商应采取安全措施，确保施工安全。加强施工安全管理，严格操作规程，项目在安装、调试、运维过程中一切安全责任由中标供应商承担。中标供应商必须为施工人员购买意外伤害险，以保证施工的平安，顺畅，按期完工。因本项目施工产生的施工人员和学校师生人生安全问题由中标供应商承担全部责任。</w:t>
      </w:r>
      <w:r/>
    </w:p>
    <w:p>
      <w:pPr>
        <w:ind w:firstLine="42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、文明施工：由于施工现场为学校，施工期间不得影响学校师生日常工作与学习。每天施工结束后及时清理施工现场垃圾，对安装造成的污迹进行修复。严格按照校园安全管理要求进入校园施工。</w:t>
      </w:r>
      <w:r/>
    </w:p>
    <w:p>
      <w:pPr>
        <w:ind w:firstLine="420"/>
        <w:spacing w:line="400" w:lineRule="exact"/>
        <w:rPr>
          <w:rFonts w:ascii="仿宋" w:hAnsi="仿宋" w:eastAsia="仿宋" w:cs="仿宋"/>
          <w:color w:val="auto"/>
          <w:sz w:val="24"/>
          <w:szCs w:val="24"/>
          <w:highlight w:val="none"/>
        </w:rPr>
      </w:pPr>
      <w:r>
        <w:rPr>
          <w:rFonts w:hint="eastAsia" w:ascii="仿宋" w:hAnsi="仿宋" w:eastAsia="仿宋" w:cs="仿宋"/>
          <w:b/>
          <w:bCs/>
          <w:i/>
          <w:iCs/>
          <w:color w:val="auto"/>
          <w:sz w:val="24"/>
          <w:szCs w:val="24"/>
          <w:highlight w:val="none"/>
          <w:u w:val="single"/>
          <w:lang w:val="en-US" w:eastAsia="zh-CN"/>
        </w:rPr>
        <w:t xml:space="preserve">7</w:t>
      </w:r>
      <w:r>
        <w:rPr>
          <w:rFonts w:ascii="仿宋" w:hAnsi="仿宋" w:eastAsia="仿宋" w:cs="仿宋"/>
          <w:b/>
          <w:bCs/>
          <w:i/>
          <w:iCs/>
          <w:color w:val="auto"/>
          <w:sz w:val="24"/>
          <w:szCs w:val="24"/>
          <w:highlight w:val="none"/>
          <w:u w:val="single"/>
        </w:rPr>
        <w:t xml:space="preserve">、</w:t>
      </w:r>
      <w:r>
        <w:rPr>
          <w:rFonts w:hint="eastAsia" w:ascii="仿宋" w:hAnsi="仿宋" w:eastAsia="仿宋" w:cs="仿宋"/>
          <w:b/>
          <w:bCs/>
          <w:i/>
          <w:iCs/>
          <w:color w:val="auto"/>
          <w:sz w:val="24"/>
          <w:szCs w:val="24"/>
          <w:highlight w:val="none"/>
          <w:u w:val="single"/>
        </w:rPr>
        <w:t xml:space="preserve">售后服务：在免费质保期内提供7×24小时免费上门服务，采购人向中标供应商发出故障通知或现场保障服务通知后上门服务，如不予以响应，采购人将自行采取必要的措施，由此产生风险和费用由中标供应商承担。在质保期内，同一商品、同一质量问题连续两次维修仍无法正常使用，中标供应商必须无条件给予全套全新更换。</w:t>
      </w:r>
      <w:r/>
    </w:p>
    <w:p>
      <w:pPr>
        <w:ind w:firstLine="42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注：中标供应商须安排人员在投标承诺的服务响应时间内上门服务。</w:t>
      </w:r>
      <w:r/>
    </w:p>
    <w:p>
      <w:pPr>
        <w:ind w:firstLine="42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、中标供应商在运维服务期间有义务积极配合采购人做好如东县基础教育装备业务管理平台的建设相关工作，让业务管理平台成为采购人、接收服务单位、供应商三赢的信息管理平台</w:t>
      </w:r>
      <w:r>
        <w:rPr>
          <w:rFonts w:ascii="仿宋" w:hAnsi="仿宋" w:eastAsia="仿宋" w:cs="仿宋"/>
          <w:color w:val="auto"/>
          <w:sz w:val="24"/>
          <w:szCs w:val="24"/>
          <w:highlight w:val="none"/>
        </w:rPr>
        <w:t xml:space="preserve">。</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（六）采购标的的验收标准、方法、时间；</w:t>
      </w:r>
      <w:r/>
    </w:p>
    <w:p>
      <w:pPr>
        <w:ind w:firstLine="420"/>
        <w:spacing w:line="40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产品质量及项目施工的验收依据国家或行业相关规定及标准及采购文件要求。中标供应商最终提供的产品应与</w:t>
      </w:r>
      <w:r>
        <w:rPr>
          <w:rFonts w:hint="eastAsia" w:ascii="仿宋" w:hAnsi="仿宋" w:eastAsia="仿宋" w:cs="仿宋"/>
          <w:color w:val="auto"/>
          <w:sz w:val="24"/>
          <w:szCs w:val="24"/>
          <w:highlight w:val="none"/>
        </w:rPr>
        <w:t xml:space="preserve">招标</w:t>
      </w:r>
      <w:r>
        <w:rPr>
          <w:rFonts w:hint="eastAsia" w:ascii="仿宋" w:hAnsi="仿宋" w:eastAsia="仿宋" w:cs="仿宋"/>
          <w:color w:val="auto"/>
          <w:sz w:val="24"/>
          <w:szCs w:val="24"/>
          <w:highlight w:val="none"/>
          <w:lang w:val="zh-CN"/>
        </w:rPr>
        <w:t xml:space="preserve">文件要求相一致，如因产品质量问题发生争议时，采购人将请质量技术监督部门给予鉴定。货物鉴定费用由中标供应商承担，同时按合同违约处理。</w:t>
      </w:r>
      <w:r/>
    </w:p>
    <w:p>
      <w:pPr>
        <w:ind w:firstLine="42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验收方法：项目验收分为校级和县级两级验收，校级验收由校方对数量、现场安装质量、试运行情况等进行核验并在校级验收单盖章签字确认；校级验收全部完成后，由采购人组织相关部门及专家进行县级验收，验收采取抽验方式进行。</w:t>
      </w:r>
      <w:r>
        <w:rPr>
          <w:rFonts w:hint="eastAsia" w:ascii="仿宋" w:hAnsi="仿宋" w:eastAsia="仿宋" w:cs="仿宋"/>
          <w:b/>
          <w:bCs/>
          <w:i/>
          <w:iCs/>
          <w:color w:val="auto"/>
          <w:sz w:val="24"/>
          <w:szCs w:val="24"/>
          <w:highlight w:val="none"/>
          <w:u w:val="single"/>
        </w:rPr>
        <w:t xml:space="preserve">采购人有权随机抽取产品送第三方检测机构进行破坏性检测(</w:t>
      </w:r>
      <w:r>
        <w:rPr>
          <w:rFonts w:ascii="仿宋" w:hAnsi="仿宋" w:eastAsia="仿宋" w:cs="仿宋"/>
          <w:b/>
          <w:bCs/>
          <w:i/>
          <w:iCs/>
          <w:color w:val="auto"/>
          <w:sz w:val="24"/>
          <w:szCs w:val="24"/>
          <w:highlight w:val="none"/>
          <w:u w:val="single"/>
        </w:rPr>
        <w:t xml:space="preserve">检测产生的所有费用由中标</w:t>
      </w:r>
      <w:r>
        <w:rPr>
          <w:rFonts w:hint="eastAsia" w:ascii="仿宋" w:hAnsi="仿宋" w:eastAsia="仿宋" w:cs="仿宋"/>
          <w:b/>
          <w:bCs/>
          <w:i/>
          <w:iCs/>
          <w:color w:val="auto"/>
          <w:sz w:val="24"/>
          <w:szCs w:val="24"/>
          <w:highlight w:val="none"/>
          <w:u w:val="single"/>
        </w:rPr>
        <w:t xml:space="preserve">供应商</w:t>
      </w:r>
      <w:r>
        <w:rPr>
          <w:rFonts w:ascii="仿宋" w:hAnsi="仿宋" w:eastAsia="仿宋" w:cs="仿宋"/>
          <w:b/>
          <w:bCs/>
          <w:i/>
          <w:iCs/>
          <w:color w:val="auto"/>
          <w:sz w:val="24"/>
          <w:szCs w:val="24"/>
          <w:highlight w:val="none"/>
          <w:u w:val="single"/>
        </w:rPr>
        <w:t xml:space="preserve">承担</w:t>
      </w:r>
      <w:r>
        <w:rPr>
          <w:rFonts w:hint="eastAsia" w:ascii="仿宋" w:hAnsi="仿宋" w:eastAsia="仿宋" w:cs="仿宋"/>
          <w:b/>
          <w:bCs/>
          <w:i/>
          <w:iCs/>
          <w:color w:val="auto"/>
          <w:sz w:val="24"/>
          <w:szCs w:val="24"/>
          <w:highlight w:val="none"/>
          <w:u w:val="single"/>
        </w:rPr>
        <w:t xml:space="preserve">)，若不合格，中标供应商须接受无条件退货、换货；采购人有权拒付货款并要求中标供应商赔偿采购人不能如期交付的经济损失。投标时供应商须提供加盖公司公章的承诺函 （格式自拟），作为响应条件，否则视为无效投标。</w:t>
      </w:r>
      <w:r/>
    </w:p>
    <w:p>
      <w:pPr>
        <w:ind w:firstLine="42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 </w:t>
      </w:r>
      <w:r>
        <w:rPr>
          <w:rFonts w:hint="eastAsia" w:ascii="仿宋" w:hAnsi="仿宋" w:eastAsia="仿宋" w:cs="仿宋"/>
          <w:color w:val="auto"/>
          <w:sz w:val="24"/>
          <w:szCs w:val="24"/>
          <w:highlight w:val="none"/>
        </w:rPr>
        <w:t xml:space="preserve">具体验收内容与标准： </w:t>
      </w:r>
      <w:r/>
    </w:p>
    <w:p>
      <w:pPr>
        <w:ind w:firstLine="42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（1）投标样品与供货产品质量一致性比较。   </w:t>
      </w:r>
      <w:r/>
    </w:p>
    <w:p>
      <w:pPr>
        <w:ind w:firstLine="42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（2）供货产品需与项目需求中“技术要求”内容相符；如有不符的，由中标供应商整改或换货，造成所有的损失（包括：因此给采购人造成的损失），由中标供应商承担。</w:t>
      </w:r>
      <w:r/>
    </w:p>
    <w:p>
      <w:pPr>
        <w:ind w:firstLine="42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人有权请检测机构相关专家和采购人单位代表在生产过程中随时到生产现场，查看所有制作材料的型号和进货清单等书面材料及原始凭证，通过跟单工作，加强对产品质量的监管，以确保产品生产阶段的质量可控。中标供应商承担有可能产生的材料品牌检测费</w:t>
      </w:r>
      <w:r>
        <w:rPr>
          <w:rFonts w:ascii="仿宋" w:hAnsi="仿宋" w:eastAsia="仿宋" w:cs="仿宋"/>
          <w:color w:val="auto"/>
          <w:sz w:val="24"/>
          <w:szCs w:val="24"/>
          <w:highlight w:val="none"/>
        </w:rPr>
        <w:t xml:space="preserve">。</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（七）采购标的的其他技术、服务等要求（增加商品包装、快递包装的相关要求）；</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1、商品包装环保要求：应当按《关于印发〈商品包装政府采购需求标准(试行）〉、〈快递包装政府采购需求标准(试行)〉的通知》 (财办库〔2020〕123号)文件执行。</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（1）商品包装层数不得超过 3 层，空隙率不大于 40%；</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（3）商品包装中铅、汞、镉、六价铬的总含量应不大于100mg/kg；</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（4）商品包装印刷使用的油墨中挥发性有机化合物(VOCs)含量应不大于 5%（以重量计）；</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（5）塑料材质商品包装上呈现的印刷颜色不得超过 6 色；</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（6）纸质商品包装应使用 75%以上的可再生纤维原料生产；</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（7）木质商品包装的原料应来源于可持续性森林。</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2、快递包装环保要求：</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（1）快递包装中重金属（铅、汞、镉、六价铬）总量应不大于 100mg/kg；</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（3）快递包装中使用纸基材的包装材料，纸基材中的有机氯的含量应不大于150 mg/kg；</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（7）快递中使用的集装袋应为单一材质制成，其重复使用次数应不小于 80 次；</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（8）快递中应使用幅宽不大于45mm 的生物降解胶带；</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（9）快递包装中不得使用溶剂型胶粘剂；</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（10）快递应使用电子面单；</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（11）直接使用商品包装作为快递包装的商品，其商品包装满足《商品包装政府采购需求标准（试行）》即可；</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（12）快递包装产品质量和封装方式应符合相关国家或行业标准技术指标要求。</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3、绿色数据中心</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4、低挥发性有机化合物产品：</w:t>
      </w:r>
      <w:r>
        <w:rPr>
          <w:rFonts w:ascii="仿宋" w:hAnsi="仿宋" w:eastAsia="仿宋" w:cs="仿宋"/>
          <w:color w:val="auto"/>
          <w:sz w:val="24"/>
          <w:szCs w:val="24"/>
          <w:highlight w:val="none"/>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ascii="仿宋" w:hAnsi="仿宋" w:eastAsia="仿宋" w:cs="仿宋"/>
          <w:color w:val="auto"/>
          <w:sz w:val="24"/>
          <w:szCs w:val="24"/>
          <w:highlight w:val="none"/>
        </w:rPr>
        <w:t xml:space="preserve">应</w:t>
      </w:r>
      <w:r>
        <w:rPr>
          <w:rFonts w:ascii="仿宋" w:hAnsi="仿宋" w:eastAsia="仿宋" w:cs="仿宋"/>
          <w:color w:val="auto"/>
          <w:sz w:val="24"/>
          <w:szCs w:val="24"/>
          <w:highlight w:val="none"/>
          <w:lang w:val="zh-CN"/>
        </w:rPr>
        <w:t xml:space="preserve">优先使用低挥发性原辅材料</w:t>
      </w:r>
      <w:r>
        <w:rPr>
          <w:rFonts w:ascii="仿宋" w:hAnsi="仿宋" w:eastAsia="仿宋" w:cs="仿宋"/>
          <w:color w:val="auto"/>
          <w:sz w:val="24"/>
          <w:szCs w:val="24"/>
          <w:highlight w:val="none"/>
        </w:rPr>
        <w:t xml:space="preserve">，将使用低</w:t>
      </w:r>
      <w:r>
        <w:rPr>
          <w:rFonts w:ascii="仿宋" w:hAnsi="仿宋" w:eastAsia="仿宋" w:cs="仿宋"/>
          <w:color w:val="auto"/>
          <w:sz w:val="24"/>
          <w:szCs w:val="24"/>
          <w:highlight w:val="none"/>
          <w:lang w:val="zh-CN"/>
        </w:rPr>
        <w:t xml:space="preserve">VOCs含量的</w:t>
      </w:r>
      <w:r>
        <w:rPr>
          <w:rFonts w:ascii="仿宋" w:hAnsi="仿宋" w:eastAsia="仿宋" w:cs="仿宋"/>
          <w:color w:val="auto"/>
          <w:sz w:val="24"/>
          <w:szCs w:val="24"/>
          <w:highlight w:val="none"/>
        </w:rPr>
        <w:t xml:space="preserve">涂料、</w:t>
      </w:r>
      <w:r>
        <w:rPr>
          <w:rFonts w:ascii="仿宋" w:hAnsi="仿宋" w:eastAsia="仿宋" w:cs="仿宋"/>
          <w:color w:val="auto"/>
          <w:sz w:val="24"/>
          <w:szCs w:val="24"/>
          <w:highlight w:val="none"/>
          <w:lang w:val="zh-CN"/>
        </w:rPr>
        <w:t xml:space="preserve">胶黏剂</w:t>
      </w:r>
      <w:r>
        <w:rPr>
          <w:rFonts w:ascii="仿宋" w:hAnsi="仿宋" w:eastAsia="仿宋" w:cs="仿宋"/>
          <w:color w:val="auto"/>
          <w:sz w:val="24"/>
          <w:szCs w:val="24"/>
          <w:highlight w:val="none"/>
        </w:rPr>
        <w:t xml:space="preserve">等纳入合同条款。</w:t>
      </w:r>
      <w:r/>
    </w:p>
    <w:p>
      <w:pPr>
        <w:ind w:firstLine="480"/>
        <w:spacing w:line="400" w:lineRule="exact"/>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rPr>
        <w:t xml:space="preserve">5、节能环保产品：</w:t>
      </w:r>
      <w:r>
        <w:rPr>
          <w:rFonts w:ascii="仿宋" w:hAnsi="仿宋" w:eastAsia="仿宋" w:cs="仿宋"/>
          <w:color w:val="auto"/>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6、绿色低碳管理目标和服务要求：在物业、合同能源管理等服务类采购项目需求中，要强化绿色低碳管理目标和服务要求，促进绿色产品和服务推广应用。</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7、采购的货物或者服务属信创产品目录内容内的，须遵照信创产品要求提供货物或服务；</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rPr>
        <w:t xml:space="preserve">八</w:t>
      </w:r>
      <w:r>
        <w:rPr>
          <w:rFonts w:ascii="仿宋" w:hAnsi="仿宋" w:eastAsia="仿宋" w:cs="仿宋"/>
          <w:b/>
          <w:color w:val="auto"/>
          <w:sz w:val="24"/>
          <w:szCs w:val="24"/>
          <w:highlight w:val="none"/>
        </w:rPr>
        <w:t xml:space="preserve">）付款方式：</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当采购标的全部到场且均已制作安装完毕后</w:t>
      </w:r>
      <w:r>
        <w:rPr>
          <w:rFonts w:hint="eastAsia" w:ascii="仿宋" w:hAnsi="仿宋" w:eastAsia="仿宋" w:cs="仿宋"/>
          <w:color w:val="auto"/>
          <w:sz w:val="24"/>
          <w:szCs w:val="24"/>
          <w:highlight w:val="none"/>
          <w:lang w:val="en-US" w:eastAsia="zh-CN"/>
        </w:rPr>
        <w:t xml:space="preserve">付合同价的95%</w:t>
      </w:r>
      <w:r>
        <w:rPr>
          <w:rFonts w:hint="eastAsia" w:ascii="仿宋" w:hAnsi="仿宋" w:eastAsia="仿宋" w:cs="仿宋"/>
          <w:color w:val="auto"/>
          <w:sz w:val="24"/>
          <w:szCs w:val="24"/>
          <w:highlight w:val="none"/>
          <w:lang w:val="zh-CN"/>
        </w:rPr>
        <w:t xml:space="preserve">，经甲方组织验收合格</w:t>
      </w:r>
      <w:r>
        <w:rPr>
          <w:rFonts w:hint="eastAsia" w:ascii="仿宋" w:hAnsi="仿宋" w:eastAsia="仿宋" w:cs="仿宋"/>
          <w:color w:val="auto"/>
          <w:sz w:val="24"/>
          <w:szCs w:val="24"/>
          <w:highlight w:val="none"/>
          <w:lang w:val="en-US" w:eastAsia="zh-CN"/>
        </w:rPr>
        <w:t xml:space="preserve">满一年</w:t>
      </w:r>
      <w:r>
        <w:rPr>
          <w:rFonts w:hint="eastAsia" w:ascii="仿宋" w:hAnsi="仿宋" w:eastAsia="仿宋" w:cs="仿宋"/>
          <w:color w:val="auto"/>
          <w:sz w:val="24"/>
          <w:szCs w:val="24"/>
          <w:highlight w:val="none"/>
          <w:lang w:val="zh-CN"/>
        </w:rPr>
        <w:t xml:space="preserve">后</w:t>
      </w:r>
      <w:bookmarkStart w:id="8" w:name="_GoBack"/>
      <w:r/>
      <w:bookmarkEnd w:id="8"/>
      <w:r>
        <w:rPr>
          <w:rFonts w:hint="eastAsia" w:ascii="仿宋" w:hAnsi="仿宋" w:eastAsia="仿宋" w:cs="仿宋"/>
          <w:color w:val="auto"/>
          <w:sz w:val="24"/>
          <w:szCs w:val="24"/>
          <w:highlight w:val="none"/>
          <w:lang w:val="zh-CN"/>
        </w:rPr>
        <w:t xml:space="preserve">付清合同</w:t>
      </w:r>
      <w:r>
        <w:rPr>
          <w:rFonts w:hint="eastAsia" w:ascii="仿宋" w:hAnsi="仿宋" w:eastAsia="仿宋" w:cs="仿宋"/>
          <w:color w:val="auto"/>
          <w:sz w:val="24"/>
          <w:szCs w:val="24"/>
          <w:highlight w:val="none"/>
          <w:lang w:val="en-US" w:eastAsia="zh-CN"/>
        </w:rPr>
        <w:t xml:space="preserve">余</w:t>
      </w:r>
      <w:r>
        <w:rPr>
          <w:rFonts w:hint="eastAsia" w:ascii="仿宋" w:hAnsi="仿宋" w:eastAsia="仿宋" w:cs="仿宋"/>
          <w:color w:val="auto"/>
          <w:sz w:val="24"/>
          <w:szCs w:val="24"/>
          <w:highlight w:val="none"/>
          <w:lang w:val="zh-CN"/>
        </w:rPr>
        <w:t xml:space="preserve">款。满足合同约定支付条件的，采购人通知</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val="zh-CN"/>
        </w:rPr>
        <w:t xml:space="preserve">供应商开具发票，采购人应在收到发票后10个工作日内将资金支付到中标人账户</w:t>
      </w:r>
      <w:r>
        <w:rPr>
          <w:rFonts w:ascii="仿宋" w:hAnsi="仿宋" w:eastAsia="仿宋" w:cs="仿宋"/>
          <w:color w:val="auto"/>
          <w:sz w:val="24"/>
          <w:szCs w:val="24"/>
          <w:highlight w:val="none"/>
        </w:rPr>
        <w:t xml:space="preserve">。</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rPr>
        <w:t xml:space="preserve">九</w:t>
      </w:r>
      <w:r>
        <w:rPr>
          <w:rFonts w:ascii="仿宋" w:hAnsi="仿宋" w:eastAsia="仿宋" w:cs="仿宋"/>
          <w:b/>
          <w:color w:val="auto"/>
          <w:sz w:val="24"/>
          <w:szCs w:val="24"/>
          <w:highlight w:val="none"/>
        </w:rPr>
        <w:t xml:space="preserve">）履约保证金：</w:t>
      </w:r>
      <w:r/>
    </w:p>
    <w:p>
      <w:pPr>
        <w:ind w:firstLine="480"/>
        <w:spacing w:line="40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本项目中标后的履约保证金为每个采购包中标价的5%，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rPr>
          <w:rFonts w:ascii="仿宋" w:hAnsi="仿宋" w:eastAsia="仿宋" w:cs="仿宋"/>
          <w:color w:val="auto"/>
          <w:sz w:val="24"/>
          <w:szCs w:val="24"/>
          <w:highlight w:val="none"/>
        </w:rPr>
        <w:t xml:space="preserve">。</w:t>
      </w:r>
      <w:r/>
    </w:p>
    <w:p>
      <w:pPr>
        <w:numPr>
          <w:ilvl w:val="0"/>
          <w:numId w:val="4"/>
        </w:numPr>
        <w:spacing w:line="40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样品</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请投标人提供所投货物（设备）的样品如下，包括：</w:t>
      </w:r>
      <w:r/>
    </w:p>
    <w:tbl>
      <w:tblPr>
        <w:tblStyle w:val="932"/>
        <w:tblW w:w="0" w:type="auto"/>
        <w:tblInd w:w="1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2312"/>
        <w:gridCol w:w="1013"/>
        <w:gridCol w:w="962"/>
        <w:gridCol w:w="2700"/>
      </w:tblGrid>
      <w:tr>
        <w:trPr>
          <w:trHeight w:val="427"/>
        </w:trPr>
        <w:tc>
          <w:tcPr>
            <w:tcW w:w="763"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231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产品名称</w:t>
            </w:r>
            <w:r/>
          </w:p>
        </w:tc>
        <w:tc>
          <w:tcPr>
            <w:tcW w:w="1013"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96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27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c>
          <w:tcPr>
            <w:tcW w:w="763"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231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午休课桌</w:t>
            </w:r>
            <w:r/>
          </w:p>
        </w:tc>
        <w:tc>
          <w:tcPr>
            <w:tcW w:w="1013"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张</w:t>
            </w:r>
            <w:r/>
          </w:p>
        </w:tc>
        <w:tc>
          <w:tcPr>
            <w:tcW w:w="96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27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参数详见清单</w:t>
            </w:r>
            <w:r/>
          </w:p>
        </w:tc>
      </w:tr>
      <w:tr>
        <w:trPr/>
        <w:tc>
          <w:tcPr>
            <w:tcW w:w="763"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231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午休座椅</w:t>
            </w:r>
            <w:r/>
          </w:p>
        </w:tc>
        <w:tc>
          <w:tcPr>
            <w:tcW w:w="1013"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张</w:t>
            </w:r>
            <w:r/>
          </w:p>
        </w:tc>
        <w:tc>
          <w:tcPr>
            <w:tcW w:w="96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27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参数详见清单</w:t>
            </w:r>
            <w:r/>
          </w:p>
        </w:tc>
      </w:tr>
    </w:tbl>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2、注意事项：</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供应商应按照招标文件的要求及具体技术参数提交样品，样品的尺寸、材料、材质、结构、工艺等应美观环保，符合招标文件的要求。样品如有细微偏差，经评委会认定其没改变产品采购实质性需求的，视为样品符合要求；否则视为样品不合格，样品评审不得分。 </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样品规定：投标供应商提供的样品须标注所投分包号（投多个分包的，使用同一产品的，只需一套样品），但不得出现制造商的名称、商标、品牌或供应商的名称，标识，否则一律视为未递交样品。投标供应商提供的实物样品作为参加采购活动的一部分，未能在规定时间内提供样品、样品提供不全的或样品明显与招标文件要求不符的，经评委会评审，样品将不得分。</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（3）样品提交及安装完成时间（2026年</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日（9:00-11：00,14:30-16:30）起至2026年</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日（9:00-11：00,14:30-16:30）止），采购人负责接收样品。逾期将不再接收样品，由此带来的后果由供应商自行承担。</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（4）样品送达地址：如东县实验中学，样品递交联系人：</w:t>
      </w:r>
      <w:r>
        <w:rPr>
          <w:rFonts w:hint="eastAsia" w:ascii="仿宋" w:hAnsi="仿宋" w:eastAsia="仿宋" w:cs="仿宋"/>
          <w:color w:val="auto"/>
          <w:sz w:val="24"/>
          <w:szCs w:val="24"/>
          <w:highlight w:val="none"/>
          <w:lang w:val="en-US" w:eastAsia="zh-CN"/>
        </w:rPr>
        <w:t xml:space="preserve">张老师</w:t>
      </w:r>
      <w:r>
        <w:rPr>
          <w:rFonts w:hint="eastAsia" w:ascii="仿宋" w:hAnsi="仿宋" w:eastAsia="仿宋" w:cs="仿宋"/>
          <w:color w:val="auto"/>
          <w:sz w:val="24"/>
          <w:szCs w:val="24"/>
          <w:highlight w:val="none"/>
        </w:rPr>
        <w:t xml:space="preserve">，联系电话：0513-84531339，13861933223 。</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响应供应商递交样品时应服从现场工作人员要求，爱护现场公共财物，对交样区财物造成损害的，应当赔偿。各响应供应商应将样品至指定地点按要求递交样品并签到安装到位，安装完成后即离开现场，不得逗留，不得翻看他人样品及进行拍照，供应商如出现违法违规行为的，视为未提交样品并按照相应法律追究责任。各供应商应根据现场要求对自身递交的样品进行整体无任何标识的遮盖，未遮盖的视同未递交样品。</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采购人委托监审或纪检部门负责接收样品，对于中标样品将进行封存，用于作为中标人日后送货的验收标准。未中标供应商提交的样品在采购结束后退还，由供应商自行搬走。提供投标样品所产生的费用全部由投标供应商自行承担，无论本项目采购结果如何，采购人和交易中心在任何情况下均无义务和责任承担这些费用。</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rPr>
        <w:t xml:space="preserve">一</w:t>
      </w:r>
      <w:r>
        <w:rPr>
          <w:rFonts w:ascii="仿宋" w:hAnsi="仿宋" w:eastAsia="仿宋" w:cs="仿宋"/>
          <w:b/>
          <w:color w:val="auto"/>
          <w:sz w:val="24"/>
          <w:szCs w:val="24"/>
          <w:highlight w:val="none"/>
        </w:rPr>
        <w:t xml:space="preserve">）本项目不接受进口产品参与</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rPr>
        <w:t xml:space="preserve">二</w:t>
      </w:r>
      <w:r>
        <w:rPr>
          <w:rFonts w:ascii="仿宋" w:hAnsi="仿宋" w:eastAsia="仿宋" w:cs="仿宋"/>
          <w:b/>
          <w:color w:val="auto"/>
          <w:sz w:val="24"/>
          <w:szCs w:val="24"/>
          <w:highlight w:val="none"/>
        </w:rPr>
        <w:t xml:space="preserve">）安全责任</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全责任均由中标人负责，采购人不承担任何责任。</w:t>
      </w:r>
      <w:r>
        <w:rPr>
          <w:color w:val="auto"/>
          <w:highlight w:val="none"/>
        </w:rPr>
        <w:br w:type="page" w:clear="all"/>
      </w:r>
      <w:r/>
    </w:p>
    <w:p>
      <w:pPr>
        <w:jc w:val="center"/>
        <w:keepNext/>
        <w:rPr>
          <w:rFonts w:ascii="仿宋" w:hAnsi="仿宋" w:eastAsia="仿宋" w:cs="仿宋"/>
          <w:bCs/>
          <w:color w:val="auto"/>
          <w:sz w:val="44"/>
          <w:szCs w:val="28"/>
          <w:highlight w:val="none"/>
        </w:rPr>
        <w:outlineLvl w:val="0"/>
      </w:pPr>
      <w:r/>
      <w:bookmarkStart w:id="5" w:name="__RefHeading___Toc8870"/>
      <w:r/>
      <w:bookmarkEnd w:id="5"/>
      <w:r>
        <w:rPr>
          <w:rFonts w:ascii="仿宋" w:hAnsi="仿宋" w:eastAsia="仿宋" w:cs="仿宋"/>
          <w:b/>
          <w:color w:val="auto"/>
          <w:sz w:val="44"/>
          <w:szCs w:val="28"/>
          <w:highlight w:val="none"/>
        </w:rPr>
        <w:t xml:space="preserve">第五章  评标方法与评标</w:t>
      </w:r>
      <w:r>
        <w:rPr>
          <w:rFonts w:ascii="仿宋" w:hAnsi="仿宋" w:eastAsia="仿宋" w:cs="仿宋"/>
          <w:b/>
          <w:bCs/>
          <w:color w:val="auto"/>
          <w:sz w:val="44"/>
          <w:szCs w:val="28"/>
          <w:highlight w:val="none"/>
        </w:rPr>
        <w:t xml:space="preserve">标准</w:t>
      </w:r>
      <w:r/>
    </w:p>
    <w:p>
      <w:pPr>
        <w:keepLines w:val="0"/>
        <w:keepNext w:val="0"/>
        <w:pageBreakBefore w:val="0"/>
        <w:spacing w:line="380" w:lineRule="exact"/>
        <w:widowControl w:val="off"/>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一、评审方法：</w:t>
      </w:r>
      <w:r/>
    </w:p>
    <w:p>
      <w:pPr>
        <w:ind w:firstLine="420"/>
        <w:keepLines w:val="0"/>
        <w:keepNext w:val="0"/>
        <w:pageBreakBefore w:val="0"/>
        <w:spacing w:line="38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p>
    <w:p>
      <w:pPr>
        <w:ind w:firstLine="420"/>
        <w:keepLines w:val="0"/>
        <w:keepNext w:val="0"/>
        <w:pageBreakBefore w:val="0"/>
        <w:spacing w:line="38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评委会将分包对确定为实质性响应招标文件要求的投标文件进行评审，评标采用综合评分法。具体方法如下：本次招标共分四个包，开标顺序为包1→包2→包3→包4。</w:t>
      </w:r>
      <w:r/>
    </w:p>
    <w:p>
      <w:pPr>
        <w:ind w:firstLine="420"/>
        <w:keepLines w:val="0"/>
        <w:keepNext w:val="0"/>
        <w:pageBreakBefore w:val="0"/>
        <w:spacing w:line="380" w:lineRule="exact"/>
        <w:widowControl w:val="off"/>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投标供应商可同时投四个包，但只允许中其中一个包，如投标供应商已中前一个包后，可参与后一个包的评审，但不得获得中标人推荐资格。</w:t>
      </w:r>
      <w:r/>
    </w:p>
    <w:p>
      <w:pPr>
        <w:ind w:firstLine="420"/>
        <w:keepLines w:val="0"/>
        <w:keepNext w:val="0"/>
        <w:pageBreakBefore w:val="0"/>
        <w:spacing w:line="38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评标结果按评审后得分由高到低顺序排列，确定中标候选人名单并按顺序确定中标人。得分相同的，按投标报价由低到高顺序排列。得分且投标报价相同的并列,按照技术指标优劣顺序推荐。</w:t>
      </w:r>
      <w:r/>
    </w:p>
    <w:p>
      <w:pPr>
        <w:keepLines w:val="0"/>
        <w:keepNext w:val="0"/>
        <w:pageBreakBefore w:val="0"/>
        <w:spacing w:line="380" w:lineRule="exact"/>
        <w:widowControl w:val="off"/>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二、政府采购政策功能落实</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1、小微型企业价格扣除</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（1）本项目对小型和微型企业产品给予10%的扣除价格，用扣除后的价格参与评审。</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（2）供应商需按照《政府采购促进中小企业发展管理办法》（财库〔2020〕46号）的规定提供相应的《中小企业声明函》。</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（3）企业标准请参照《关于印发中小企业划型标准规定的通知》（工信部联企业〔2011〕300号）文件规定自行填写。</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2、残疾人福利单位价格扣除</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rPr>
        <w:t xml:space="preserve">本项目对残疾人福利性单位视同小型、微型企业，给予10%的价格扣除，用扣除后的价格参与评审</w:t>
      </w:r>
      <w:r>
        <w:rPr>
          <w:rFonts w:ascii="仿宋" w:hAnsi="仿宋" w:eastAsia="仿宋" w:cs="仿宋"/>
          <w:bCs/>
          <w:color w:val="auto"/>
          <w:sz w:val="24"/>
          <w:szCs w:val="24"/>
          <w:highlight w:val="none"/>
        </w:rPr>
        <w:t xml:space="preserve">。</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（2）残疾人福利单位需按照招标文件的要求提供《残疾人福利性单位声明函》。</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（3）残疾人福利单位标准请参照《关于促进残疾人就业政府采购政策的通知》（财库〔2017〕141号）。</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3、监狱和戒毒企业价格扣除</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rPr>
        <w:t xml:space="preserve">本项目对监狱和戒毒企业（简称监狱企业）视同小型、微型企业，给予10%的价格扣除，用扣除后的价格参与评审</w:t>
      </w:r>
      <w:r>
        <w:rPr>
          <w:rFonts w:ascii="仿宋" w:hAnsi="仿宋" w:eastAsia="仿宋" w:cs="仿宋"/>
          <w:bCs/>
          <w:color w:val="auto"/>
          <w:sz w:val="24"/>
          <w:szCs w:val="24"/>
          <w:highlight w:val="none"/>
        </w:rPr>
        <w:t xml:space="preserve">。</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（3）监狱企业标准请参照《关于政府采购支持监狱企业发展有关问题的通知》（财库〔2014〕68号）。</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4、残疾人福利单位、监狱企业属于小型、微型企业的，不重复享受政策。</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5、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6、联合体各方均为小型、微型企业（残疾人福利单位、监狱企业）的，联合体享受10%价格扣除，用扣除后的价格参与评审。</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
          <w:color w:val="auto"/>
          <w:sz w:val="24"/>
          <w:szCs w:val="24"/>
          <w:highlight w:val="none"/>
        </w:rPr>
        <w:t xml:space="preserve">7、专门面向中小企业采购的项目或者采购包，不再执行价格评审优惠的扶持政策。</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8、根据《江苏省政府采购信用管理暂行办法》的规定，供应商信用评价结果为三星的扣2分，评价结果为二星的扣3分，评价结果为一星的扣4分。</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9、采购本国产品的支持政策</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9.1 本项目政府采购活动中既有本国产品又有非本国产品参与竞争的，依法对本国产品给予价格评审优惠，对本国产品的报价给予 20%的价格扣除，用扣除后的价格参与评审。</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9.3 供应商需按照招标文件的要求提供《关于符合本国产品标准的声明函》（以下简称《声明函》），如不提供将不享受本国产品价格评审优惠。</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keepLines w:val="0"/>
        <w:keepNext w:val="0"/>
        <w:pageBreakBefore w:val="0"/>
        <w:spacing w:line="380" w:lineRule="exact"/>
        <w:widowControl w:val="off"/>
        <w:rPr>
          <w:color w:val="auto"/>
          <w:highlight w:val="none"/>
        </w:rPr>
      </w:pPr>
      <w:r>
        <w:rPr>
          <w:rFonts w:hint="eastAsia" w:ascii="仿宋" w:hAnsi="仿宋" w:eastAsia="仿宋" w:cs="仿宋"/>
          <w:bCs/>
          <w:color w:val="auto"/>
          <w:sz w:val="24"/>
          <w:szCs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仿宋" w:hAnsi="仿宋" w:eastAsia="仿宋" w:cs="仿宋"/>
          <w:bCs/>
          <w:color w:val="auto"/>
          <w:sz w:val="24"/>
          <w:szCs w:val="24"/>
          <w:highlight w:val="none"/>
        </w:rPr>
        <w:t xml:space="preserve">。</w:t>
      </w:r>
      <w:r/>
    </w:p>
    <w:p>
      <w:pPr>
        <w:keepLines w:val="0"/>
        <w:keepNext w:val="0"/>
        <w:pageBreakBefore w:val="0"/>
        <w:spacing w:line="380" w:lineRule="exact"/>
        <w:widowControl w:val="off"/>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三、评标方法与评标标准</w:t>
      </w:r>
      <w:r/>
    </w:p>
    <w:p>
      <w:pPr>
        <w:pStyle w:val="993"/>
        <w:keepLines w:val="0"/>
        <w:keepNext w:val="0"/>
        <w:pageBreakBefore w:val="0"/>
        <w:spacing w:line="38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本项目采用综合评分法。评委会将按下列评审因素与评审标准进行评分，总分值为100分。</w:t>
      </w:r>
      <w:r/>
    </w:p>
    <w:tbl>
      <w:tblPr>
        <w:tblStyle w:val="932"/>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117"/>
        <w:gridCol w:w="813"/>
        <w:gridCol w:w="6997"/>
      </w:tblGrid>
      <w:tr>
        <w:trPr>
          <w:jc w:val="center"/>
          <w:trHeight w:val="462"/>
        </w:trPr>
        <w:tc>
          <w:tcPr>
            <w:tcW w:w="672" w:type="dxa"/>
            <w:vAlign w:val="center"/>
            <w:textDirection w:val="lrTb"/>
            <w:noWrap w:val="false"/>
          </w:tcPr>
          <w:p>
            <w:pPr>
              <w:jc w:val="center"/>
              <w:keepLines w:val="0"/>
              <w:keepNext w:val="0"/>
              <w:pageBreakBefore w:val="0"/>
              <w:spacing w:line="300" w:lineRule="exact"/>
              <w:widowControl w:val="off"/>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序号</w:t>
            </w:r>
            <w:r/>
          </w:p>
        </w:tc>
        <w:tc>
          <w:tcPr>
            <w:tcW w:w="1117" w:type="dxa"/>
            <w:vAlign w:val="center"/>
            <w:textDirection w:val="lrTb"/>
            <w:noWrap w:val="false"/>
          </w:tcPr>
          <w:p>
            <w:pPr>
              <w:jc w:val="center"/>
              <w:keepLines w:val="0"/>
              <w:keepNext w:val="0"/>
              <w:pageBreakBefore w:val="0"/>
              <w:spacing w:line="300" w:lineRule="exact"/>
              <w:widowControl w:val="off"/>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评审因素</w:t>
            </w:r>
            <w:r/>
          </w:p>
        </w:tc>
        <w:tc>
          <w:tcPr>
            <w:gridSpan w:val="2"/>
            <w:tcW w:w="7810" w:type="dxa"/>
            <w:vAlign w:val="center"/>
            <w:textDirection w:val="lrTb"/>
            <w:noWrap w:val="false"/>
          </w:tcPr>
          <w:p>
            <w:pPr>
              <w:jc w:val="center"/>
              <w:keepLines w:val="0"/>
              <w:keepNext w:val="0"/>
              <w:pageBreakBefore w:val="0"/>
              <w:spacing w:line="300" w:lineRule="exact"/>
              <w:widowControl w:val="off"/>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评分标准</w:t>
            </w:r>
            <w:r/>
          </w:p>
        </w:tc>
      </w:tr>
      <w:tr>
        <w:trPr>
          <w:jc w:val="center"/>
        </w:trPr>
        <w:tc>
          <w:tcPr>
            <w:tcW w:w="672"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1117"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报价</w:t>
            </w:r>
            <w:r/>
          </w:p>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（30分）</w:t>
            </w:r>
            <w:r/>
          </w:p>
        </w:tc>
        <w:tc>
          <w:tcPr>
            <w:gridSpan w:val="2"/>
            <w:tcW w:w="7810" w:type="dxa"/>
            <w:vAlign w:val="center"/>
            <w:textDirection w:val="lrTb"/>
            <w:noWrap w:val="false"/>
          </w:tcPr>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投标报价得分=（评标基准价/投标报价）×30×100%</w:t>
            </w:r>
            <w:r/>
          </w:p>
        </w:tc>
      </w:tr>
      <w:tr>
        <w:trPr>
          <w:jc w:val="center"/>
        </w:trPr>
        <w:tc>
          <w:tcPr>
            <w:tcW w:w="672"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W w:w="1117"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企业实力</w:t>
            </w:r>
            <w:r/>
          </w:p>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（9分）</w:t>
            </w:r>
            <w:r/>
          </w:p>
        </w:tc>
        <w:tc>
          <w:tcPr>
            <w:gridSpan w:val="2"/>
            <w:tcW w:w="7810" w:type="dxa"/>
            <w:vAlign w:val="center"/>
            <w:textDirection w:val="lrTb"/>
            <w:noWrap w:val="false"/>
          </w:tcPr>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1.投标人或所投产品制造商（生产者）通过由国家权威认证机构颁发的质量管理体系认证证书（ISO9001）、环境管理体系认证证书（ISO14001）、职业健康安全管理体系认证证书（ISO45001）的，有一个得1分，</w:t>
            </w:r>
            <w:r>
              <w:rPr>
                <w:rFonts w:hint="eastAsia" w:ascii="仿宋" w:hAnsi="仿宋" w:eastAsia="仿宋" w:cs="仿宋"/>
                <w:bCs/>
                <w:color w:val="auto"/>
                <w:sz w:val="24"/>
                <w:szCs w:val="24"/>
                <w:highlight w:val="none"/>
                <w:lang w:val="en-US" w:eastAsia="zh-CN"/>
              </w:rPr>
              <w:t xml:space="preserve">本项最高得</w:t>
            </w:r>
            <w:r>
              <w:rPr>
                <w:rFonts w:hint="eastAsia" w:ascii="仿宋" w:hAnsi="仿宋" w:eastAsia="仿宋" w:cs="仿宋"/>
                <w:bCs/>
                <w:color w:val="auto"/>
                <w:sz w:val="24"/>
                <w:szCs w:val="24"/>
                <w:highlight w:val="none"/>
              </w:rPr>
              <w:t xml:space="preserve">3分。</w:t>
            </w:r>
            <w:r/>
          </w:p>
          <w:p>
            <w:pPr>
              <w:keepLines w:val="0"/>
              <w:keepNext w:val="0"/>
              <w:pageBreakBefore w:val="0"/>
              <w:spacing w:line="300" w:lineRule="exact"/>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注：投标时</w:t>
            </w:r>
            <w:r>
              <w:rPr>
                <w:rFonts w:hint="eastAsia" w:ascii="仿宋" w:hAnsi="仿宋" w:eastAsia="仿宋" w:cs="仿宋"/>
                <w:b/>
                <w:color w:val="auto"/>
                <w:sz w:val="24"/>
                <w:szCs w:val="24"/>
                <w:highlight w:val="none"/>
                <w:lang w:val="en-US" w:eastAsia="zh-CN"/>
              </w:rPr>
              <w:t xml:space="preserve">需</w:t>
            </w:r>
            <w:r>
              <w:rPr>
                <w:rFonts w:hint="eastAsia" w:ascii="仿宋" w:hAnsi="仿宋" w:eastAsia="仿宋" w:cs="仿宋"/>
                <w:b/>
                <w:color w:val="auto"/>
                <w:sz w:val="24"/>
                <w:szCs w:val="24"/>
                <w:highlight w:val="none"/>
              </w:rPr>
              <w:t xml:space="preserve">提供证书扫描件及全国认证认可信息公共服务平台查询截图，证书需在有效期内。否则不得分。</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2.投标人或所投产品制造商（生产者）通过由国家认证机构颁发的中国环境标志产品认证证书、中国环保产品认证证书的有一个得2分，</w:t>
            </w:r>
            <w:r>
              <w:rPr>
                <w:rFonts w:hint="eastAsia" w:ascii="仿宋" w:hAnsi="仿宋" w:eastAsia="仿宋" w:cs="仿宋"/>
                <w:bCs/>
                <w:color w:val="auto"/>
                <w:sz w:val="24"/>
                <w:szCs w:val="24"/>
                <w:highlight w:val="none"/>
                <w:lang w:val="en-US" w:eastAsia="zh-CN"/>
              </w:rPr>
              <w:t xml:space="preserve">本项最高得</w:t>
            </w:r>
            <w:r>
              <w:rPr>
                <w:rFonts w:hint="eastAsia" w:ascii="仿宋" w:hAnsi="仿宋" w:eastAsia="仿宋" w:cs="仿宋"/>
                <w:bCs/>
                <w:color w:val="auto"/>
                <w:sz w:val="24"/>
                <w:szCs w:val="24"/>
                <w:highlight w:val="none"/>
              </w:rPr>
              <w:t xml:space="preserve">4分。</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注：投标时</w:t>
            </w:r>
            <w:r>
              <w:rPr>
                <w:rFonts w:hint="eastAsia" w:ascii="仿宋" w:hAnsi="仿宋" w:eastAsia="仿宋" w:cs="仿宋"/>
                <w:b/>
                <w:color w:val="auto"/>
                <w:sz w:val="24"/>
                <w:szCs w:val="24"/>
                <w:highlight w:val="none"/>
                <w:lang w:val="en-US" w:eastAsia="zh-CN"/>
              </w:rPr>
              <w:t xml:space="preserve">需</w:t>
            </w:r>
            <w:r>
              <w:rPr>
                <w:rFonts w:hint="eastAsia" w:ascii="仿宋" w:hAnsi="仿宋" w:eastAsia="仿宋" w:cs="仿宋"/>
                <w:b/>
                <w:color w:val="auto"/>
                <w:sz w:val="24"/>
                <w:szCs w:val="24"/>
                <w:highlight w:val="none"/>
              </w:rPr>
              <w:t xml:space="preserve">提供证书扫描件及全国认证认可信息公共服务平台查询截图，证书需在有效期内。否则不得分。</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3.投标人或其所投午休课桌椅产品拥有相关领域实用新型专利的（不限于午休课桌椅的躺卧功能、安全防护或结构设计等方面），得2分。</w:t>
            </w:r>
            <w:r/>
          </w:p>
          <w:p>
            <w:pPr>
              <w:keepLines w:val="0"/>
              <w:keepNext w:val="0"/>
              <w:pageBreakBefore w:val="0"/>
              <w:spacing w:line="300" w:lineRule="exact"/>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注：①投标时</w:t>
            </w:r>
            <w:r>
              <w:rPr>
                <w:rFonts w:hint="eastAsia" w:ascii="仿宋" w:hAnsi="仿宋" w:eastAsia="仿宋" w:cs="仿宋"/>
                <w:b/>
                <w:color w:val="auto"/>
                <w:sz w:val="24"/>
                <w:szCs w:val="24"/>
                <w:highlight w:val="none"/>
                <w:lang w:val="en-US" w:eastAsia="zh-CN"/>
              </w:rPr>
              <w:t xml:space="preserve">需</w:t>
            </w:r>
            <w:r>
              <w:rPr>
                <w:rFonts w:hint="eastAsia" w:ascii="仿宋" w:hAnsi="仿宋" w:eastAsia="仿宋" w:cs="仿宋"/>
                <w:b/>
                <w:color w:val="auto"/>
                <w:sz w:val="24"/>
                <w:szCs w:val="24"/>
                <w:highlight w:val="none"/>
              </w:rPr>
              <w:t xml:space="preserve">提供证书扫描件及国家知识产权网查询截图，证书需在有效期内。</w:t>
            </w:r>
            <w:r/>
          </w:p>
          <w:p>
            <w:pPr>
              <w:ind w:firstLine="482"/>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②代理商投标的，可提供制造商名下有效专利证书。否则不得分。</w:t>
            </w:r>
            <w:r/>
          </w:p>
        </w:tc>
      </w:tr>
      <w:tr>
        <w:trPr>
          <w:jc w:val="center"/>
        </w:trPr>
        <w:tc>
          <w:tcPr>
            <w:tcW w:w="672"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W w:w="1117"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样品</w:t>
            </w:r>
            <w:r/>
          </w:p>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（20分）</w:t>
            </w:r>
            <w:r/>
          </w:p>
        </w:tc>
        <w:tc>
          <w:tcPr>
            <w:gridSpan w:val="2"/>
            <w:tcW w:w="7810" w:type="dxa"/>
            <w:vAlign w:val="center"/>
            <w:textDirection w:val="lrTb"/>
            <w:noWrap w:val="false"/>
          </w:tcPr>
          <w:p>
            <w:pPr>
              <w:keepLines w:val="0"/>
              <w:keepNext w:val="0"/>
              <w:pageBreakBefore w:val="0"/>
              <w:spacing w:line="300" w:lineRule="exact"/>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午休课桌（10分）</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评审委员会根据供应商提供的满足采购需求的样品,从以下五方面进行评分：</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1.制作工艺、配件质量（包括但不限于：桌面工艺、钢件表面处理、焊接、喷涂工艺，配件质量好坏）；</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2.材质、结构（包括但不限于：桌面材质、桌斗材质、管架材质、脚套材质、升降器材质，课桌的设计结构）；</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3.安全性、舒适性（包括但不限于：桌面升降的安全性、可靠性、书写状态下肘部舒适性）；</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4.耐用性、可调节性（包括但不限于：课桌的材质厚度及整体重量、牢固度、桌面的</w:t>
            </w:r>
            <w:r>
              <w:rPr>
                <w:rFonts w:hint="eastAsia" w:ascii="仿宋" w:hAnsi="仿宋" w:eastAsia="仿宋" w:cs="仿宋"/>
                <w:bCs/>
                <w:color w:val="auto"/>
                <w:sz w:val="24"/>
                <w:szCs w:val="24"/>
                <w:highlight w:val="none"/>
                <w:lang w:val="zh-CN"/>
              </w:rPr>
              <w:t xml:space="preserve">耐划痕、防污</w:t>
            </w:r>
            <w:r>
              <w:rPr>
                <w:rFonts w:hint="eastAsia" w:ascii="仿宋" w:hAnsi="仿宋" w:eastAsia="仿宋" w:cs="仿宋"/>
                <w:bCs/>
                <w:color w:val="auto"/>
                <w:sz w:val="24"/>
                <w:szCs w:val="24"/>
                <w:highlight w:val="none"/>
              </w:rPr>
              <w:t xml:space="preserve">性，桌面升降、翻转的方便性、快捷性，课桌桌面高度调节的简单便捷性）；</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5.款式、功能性（包括但不限于：款式设计的先进性、使用功能的完善性、人体工学符合性）。</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完全符合采购文件要求的，每项得2分；存在细微外观瑕疵、不影响使用的，每项得1分；存在一般性缺陷、不影响核心功能的，每项得0.5分；出现虚焊、漏喷、部件破损、功能失效、尺寸严重偏离等问题，本项不得分。</w:t>
            </w:r>
            <w:r/>
          </w:p>
          <w:p>
            <w:pPr>
              <w:keepLines w:val="0"/>
              <w:keepNext w:val="0"/>
              <w:pageBreakBefore w:val="0"/>
              <w:spacing w:line="300" w:lineRule="exact"/>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午休座椅（10分）</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评审委员会根据供应商提供的满足采购需求的样品,从以下五方面进行评分：</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1.制作工艺、配件质量（包括但不限于：椅面工艺、钢件表面处理、焊接、喷涂工艺，配件质量好坏）；</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2.材质、结构（包括但不限于：背板材质、座板材质、头枕材质、脚托材质、腰托材质、管架材质、脚套材质、升降器材质，座椅的设计结构）；</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3.安全性、舒适性（包括但不限于：椅面升降的安全性、可靠性、上课和午休状态下符合人体工学）；</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4.耐用性、可调节性（包括但不限于：座椅的材质厚度及整体重量、牢固度、座椅在上课状态和午休状态之间的切换方便、快捷性；座椅座面高度调节的简单便捷性）；</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5.款式、功能性（包括但不限于：款式设计的先进性、使用功能的完善性、人体工学符合性）。</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完全符合采购文件要求的，每项得2分；存在细微外观瑕疵、不影响使用的，每项得1分；存在一般性缺陷、不影响核心功能的，每项得0.5分；出现虚焊、漏喷、部件破损、功能失效、尺寸严重偏离等问题，本项不得分。</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注：未提供样品、样品不全或样品不能实现采购需求功能的不得分。</w:t>
            </w:r>
            <w:r/>
          </w:p>
        </w:tc>
      </w:tr>
      <w:tr>
        <w:trPr>
          <w:jc w:val="center"/>
        </w:trPr>
        <w:tc>
          <w:tcPr>
            <w:tcW w:w="672"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W w:w="1117"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成品检测报告</w:t>
            </w:r>
            <w:r/>
          </w:p>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（10分）</w:t>
            </w:r>
            <w:r/>
          </w:p>
        </w:tc>
        <w:tc>
          <w:tcPr>
            <w:gridSpan w:val="2"/>
            <w:tcW w:w="7810" w:type="dxa"/>
            <w:vAlign w:val="center"/>
            <w:textDirection w:val="lrTb"/>
            <w:noWrap w:val="false"/>
          </w:tcPr>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1.提供由具备CMA计量认证资质、资质附表包含QB/T 4767-2014关键检测项目清单的检验检测机构出具的检测报告，至少包含：</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（1）理化性能：金属喷涂层理化性能（硬度≥H；冲击强度应无剥落、裂纹、皱纹；附着力不低于2级；60μm≤涂层厚度≤130μm；24小时中性抗盐雾实验不低于7级）。</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2.提供由具备CMA计量认证资质、资质附表包含GB/T 32487—2016《塑料家具通用技术条件》关键检测项目清单的检验检测机构出具的检测报告，至少包含：</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（1）理化性能：塑料件（耐冷热循环应无裂纹、鼓泡、变色、起皱；邵氏D硬度≥HD63）；</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3.提供由具备CMA计量认证资质、资质附表包含GB/T 46016-2025《中小学生午休课桌椅通用技术要求》关键检测项目清单的检验检测机构出具的检测报告，至少包含：</w:t>
            </w:r>
            <w:r/>
          </w:p>
          <w:p>
            <w:pPr>
              <w:keepLines w:val="0"/>
              <w:keepNext w:val="0"/>
              <w:pageBreakBefore w:val="0"/>
              <w:spacing w:line="30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（1）金属件外观要求和塑料件外观要求</w:t>
            </w:r>
            <w:r>
              <w:rPr>
                <w:rFonts w:hint="eastAsia" w:ascii="仿宋" w:hAnsi="仿宋" w:eastAsia="仿宋" w:cs="仿宋"/>
                <w:bCs/>
                <w:color w:val="auto"/>
                <w:sz w:val="24"/>
                <w:szCs w:val="24"/>
                <w:highlight w:val="none"/>
                <w:lang w:eastAsia="zh-CN"/>
              </w:rPr>
              <w:t xml:space="preserve">；</w:t>
            </w:r>
            <w:r/>
          </w:p>
          <w:p>
            <w:pPr>
              <w:keepLines w:val="0"/>
              <w:keepNext w:val="0"/>
              <w:pageBreakBefore w:val="0"/>
              <w:spacing w:line="30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）上课状态下力学性能要求及午休状态下力学性能要求</w:t>
            </w:r>
            <w:r>
              <w:rPr>
                <w:rFonts w:hint="eastAsia" w:ascii="仿宋" w:hAnsi="仿宋" w:eastAsia="仿宋" w:cs="仿宋"/>
                <w:bCs/>
                <w:color w:val="auto"/>
                <w:sz w:val="24"/>
                <w:szCs w:val="24"/>
                <w:highlight w:val="none"/>
                <w:lang w:eastAsia="zh-CN"/>
              </w:rPr>
              <w:t xml:space="preserve">。</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4.提供由具备CMA计量认证资质、资质附表包含GB/T 43002-2023《儿童家具质量检验及质量判定》关键检测项目清单的检验检测机构出具的检测报告，至少包含：</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）面板、正视面板件平整度≤0.20mm，底脚着地平稳性≤2.0mm。</w:t>
            </w:r>
            <w:r/>
          </w:p>
          <w:p>
            <w:pPr>
              <w:keepLines w:val="0"/>
              <w:keepNext w:val="0"/>
              <w:pageBreakBefore w:val="0"/>
              <w:spacing w:line="300" w:lineRule="exact"/>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注：1、投标时</w:t>
            </w:r>
            <w:r>
              <w:rPr>
                <w:rFonts w:hint="eastAsia" w:ascii="仿宋" w:hAnsi="仿宋" w:eastAsia="仿宋" w:cs="仿宋"/>
                <w:b/>
                <w:color w:val="auto"/>
                <w:sz w:val="24"/>
                <w:szCs w:val="24"/>
                <w:highlight w:val="none"/>
                <w:lang w:val="en-US" w:eastAsia="zh-CN"/>
              </w:rPr>
              <w:t xml:space="preserve">需</w:t>
            </w:r>
            <w:r>
              <w:rPr>
                <w:rFonts w:hint="eastAsia" w:ascii="仿宋" w:hAnsi="仿宋" w:eastAsia="仿宋" w:cs="仿宋"/>
                <w:b/>
                <w:color w:val="auto"/>
                <w:sz w:val="24"/>
                <w:szCs w:val="24"/>
                <w:highlight w:val="none"/>
              </w:rPr>
              <w:t xml:space="preserve">提供以上检测报告扫描件</w:t>
            </w:r>
            <w:r>
              <w:rPr>
                <w:rFonts w:hint="eastAsia" w:ascii="仿宋" w:hAnsi="仿宋" w:eastAsia="仿宋" w:cs="仿宋"/>
                <w:b/>
                <w:color w:val="auto"/>
                <w:sz w:val="24"/>
                <w:szCs w:val="24"/>
                <w:highlight w:val="none"/>
                <w:lang w:val="en-US" w:eastAsia="zh-CN"/>
              </w:rPr>
              <w:t xml:space="preserve">并加盖投标人公章</w:t>
            </w:r>
            <w:r>
              <w:rPr>
                <w:rFonts w:hint="eastAsia" w:ascii="仿宋" w:hAnsi="仿宋" w:eastAsia="仿宋" w:cs="仿宋"/>
                <w:b/>
                <w:color w:val="auto"/>
                <w:sz w:val="24"/>
                <w:szCs w:val="24"/>
                <w:highlight w:val="none"/>
              </w:rPr>
              <w:t xml:space="preserve">，每提供一项完整的检测报告得2.5分，全部提供得10分，未提供或任意一项指标不满足的不得分。</w:t>
            </w:r>
            <w:r/>
          </w:p>
          <w:p>
            <w:pPr>
              <w:ind w:firstLine="241"/>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 2、投标人若为代理商，检测报告可为制造商出具。</w:t>
            </w:r>
            <w:r/>
          </w:p>
        </w:tc>
      </w:tr>
      <w:tr>
        <w:trPr>
          <w:jc w:val="center"/>
          <w:trHeight w:val="305"/>
        </w:trPr>
        <w:tc>
          <w:tcPr>
            <w:tcW w:w="672" w:type="dxa"/>
            <w:vAlign w:val="center"/>
            <w:vMerge w:val="restart"/>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W w:w="1117" w:type="dxa"/>
            <w:vAlign w:val="center"/>
            <w:vMerge w:val="restart"/>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业绩</w:t>
            </w:r>
            <w:r/>
          </w:p>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（8分）</w:t>
            </w:r>
            <w:r/>
          </w:p>
        </w:tc>
        <w:tc>
          <w:tcPr>
            <w:tcW w:w="813"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合同业绩</w:t>
            </w:r>
            <w:r/>
          </w:p>
        </w:tc>
        <w:tc>
          <w:tcPr>
            <w:tcW w:w="6997" w:type="dxa"/>
            <w:vAlign w:val="center"/>
            <w:textDirection w:val="lrTb"/>
            <w:noWrap w:val="false"/>
          </w:tcPr>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提供投标人或所投产品制造商</w:t>
            </w:r>
            <w:r>
              <w:rPr>
                <w:rFonts w:hint="eastAsia" w:ascii="仿宋" w:hAnsi="仿宋" w:eastAsia="仿宋" w:cs="仿宋"/>
                <w:bCs/>
                <w:color w:val="auto"/>
                <w:sz w:val="24"/>
                <w:szCs w:val="24"/>
                <w:highlight w:val="none"/>
                <w:lang w:val="en-US" w:eastAsia="zh-CN"/>
              </w:rPr>
              <w:t xml:space="preserve">自</w:t>
            </w:r>
            <w:r>
              <w:rPr>
                <w:rFonts w:hint="eastAsia" w:ascii="仿宋" w:hAnsi="仿宋" w:eastAsia="仿宋" w:cs="仿宋"/>
                <w:bCs/>
                <w:color w:val="auto"/>
                <w:sz w:val="24"/>
                <w:szCs w:val="24"/>
                <w:highlight w:val="none"/>
              </w:rPr>
              <w:t xml:space="preserve">2022年1月1日至今承担过同类午休课桌椅项目的业绩，有一个得2分，</w:t>
            </w:r>
            <w:r>
              <w:rPr>
                <w:rFonts w:hint="eastAsia" w:ascii="仿宋" w:hAnsi="仿宋" w:eastAsia="仿宋" w:cs="仿宋"/>
                <w:bCs/>
                <w:color w:val="auto"/>
                <w:sz w:val="24"/>
                <w:szCs w:val="24"/>
                <w:highlight w:val="none"/>
                <w:lang w:val="en-US" w:eastAsia="zh-CN"/>
              </w:rPr>
              <w:t xml:space="preserve">本项最高得</w:t>
            </w:r>
            <w:r>
              <w:rPr>
                <w:rFonts w:hint="eastAsia" w:ascii="仿宋" w:hAnsi="仿宋" w:eastAsia="仿宋" w:cs="仿宋"/>
                <w:bCs/>
                <w:color w:val="auto"/>
                <w:sz w:val="24"/>
                <w:szCs w:val="24"/>
                <w:highlight w:val="none"/>
              </w:rPr>
              <w:t xml:space="preserve">6分。</w:t>
            </w:r>
            <w:r/>
          </w:p>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注：投标时</w:t>
            </w:r>
            <w:r>
              <w:rPr>
                <w:rFonts w:hint="eastAsia" w:ascii="仿宋" w:hAnsi="仿宋" w:eastAsia="仿宋" w:cs="仿宋"/>
                <w:b/>
                <w:color w:val="auto"/>
                <w:sz w:val="24"/>
                <w:szCs w:val="24"/>
                <w:highlight w:val="none"/>
                <w:lang w:val="en-US" w:eastAsia="zh-CN"/>
              </w:rPr>
              <w:t xml:space="preserve">需</w:t>
            </w:r>
            <w:r>
              <w:rPr>
                <w:rFonts w:hint="eastAsia" w:ascii="仿宋" w:hAnsi="仿宋" w:eastAsia="仿宋" w:cs="仿宋"/>
                <w:b/>
                <w:color w:val="auto"/>
                <w:sz w:val="24"/>
                <w:szCs w:val="24"/>
                <w:highlight w:val="none"/>
              </w:rPr>
              <w:t xml:space="preserve">提供合同以及合同对应的任意一张发票</w:t>
            </w:r>
            <w:r>
              <w:rPr>
                <w:rFonts w:hint="eastAsia" w:ascii="仿宋" w:hAnsi="仿宋" w:eastAsia="仿宋" w:cs="仿宋"/>
                <w:b/>
                <w:color w:val="auto"/>
                <w:sz w:val="24"/>
                <w:szCs w:val="24"/>
                <w:highlight w:val="none"/>
                <w:lang w:val="en-US" w:eastAsia="zh-CN"/>
              </w:rPr>
              <w:t xml:space="preserve">扫描件</w:t>
            </w:r>
            <w:r>
              <w:rPr>
                <w:rFonts w:hint="eastAsia" w:ascii="仿宋" w:hAnsi="仿宋" w:eastAsia="仿宋" w:cs="仿宋"/>
                <w:b/>
                <w:color w:val="auto"/>
                <w:sz w:val="24"/>
                <w:szCs w:val="24"/>
                <w:highlight w:val="none"/>
              </w:rPr>
              <w:t xml:space="preserve">并加盖投标</w:t>
            </w:r>
            <w:r>
              <w:rPr>
                <w:rFonts w:hint="eastAsia" w:ascii="仿宋" w:hAnsi="仿宋" w:eastAsia="仿宋" w:cs="仿宋"/>
                <w:b/>
                <w:color w:val="auto"/>
                <w:sz w:val="24"/>
                <w:szCs w:val="24"/>
                <w:highlight w:val="none"/>
                <w:lang w:val="en-US" w:eastAsia="zh-CN"/>
              </w:rPr>
              <w:t xml:space="preserve">人</w:t>
            </w:r>
            <w:r>
              <w:rPr>
                <w:rFonts w:hint="eastAsia" w:ascii="仿宋" w:hAnsi="仿宋" w:eastAsia="仿宋" w:cs="仿宋"/>
                <w:b/>
                <w:color w:val="auto"/>
                <w:sz w:val="24"/>
                <w:szCs w:val="24"/>
                <w:highlight w:val="none"/>
              </w:rPr>
              <w:t xml:space="preserve">公章，不提供不得分。</w:t>
            </w:r>
            <w:r/>
          </w:p>
        </w:tc>
      </w:tr>
      <w:tr>
        <w:trPr>
          <w:jc w:val="center"/>
        </w:trPr>
        <w:tc>
          <w:tcPr>
            <w:tcW w:w="672" w:type="dxa"/>
            <w:vMerge w:val="continue"/>
            <w:textDirection w:val="lrTb"/>
            <w:noWrap w:val="false"/>
          </w:tcPr>
          <w:p>
            <w:pPr>
              <w:keepLines w:val="0"/>
              <w:keepNext w:val="0"/>
              <w:pageBreakBefore w:val="0"/>
              <w:spacing w:line="300" w:lineRule="exact"/>
              <w:widowControl w:val="off"/>
              <w:rPr>
                <w:color w:val="auto"/>
                <w:highlight w:val="none"/>
              </w:rPr>
            </w:pPr>
            <w:r>
              <w:rPr>
                <w:color w:val="auto"/>
                <w:highlight w:val="none"/>
              </w:rPr>
            </w:r>
            <w:r/>
          </w:p>
        </w:tc>
        <w:tc>
          <w:tcPr>
            <w:tcW w:w="1117" w:type="dxa"/>
            <w:vMerge w:val="continue"/>
            <w:textDirection w:val="lrTb"/>
            <w:noWrap w:val="false"/>
          </w:tcPr>
          <w:p>
            <w:pPr>
              <w:keepLines w:val="0"/>
              <w:keepNext w:val="0"/>
              <w:pageBreakBefore w:val="0"/>
              <w:spacing w:line="300" w:lineRule="exact"/>
              <w:widowControl w:val="off"/>
              <w:rPr>
                <w:color w:val="auto"/>
                <w:highlight w:val="none"/>
              </w:rPr>
            </w:pPr>
            <w:r>
              <w:rPr>
                <w:color w:val="auto"/>
                <w:highlight w:val="none"/>
              </w:rPr>
            </w:r>
            <w:r/>
          </w:p>
        </w:tc>
        <w:tc>
          <w:tcPr>
            <w:tcW w:w="813"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售后服务</w:t>
            </w:r>
            <w:r/>
          </w:p>
        </w:tc>
        <w:tc>
          <w:tcPr>
            <w:tcW w:w="6997" w:type="dxa"/>
            <w:vAlign w:val="center"/>
            <w:textDirection w:val="lrTb"/>
            <w:noWrap w:val="false"/>
          </w:tcPr>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提供投标人或所投产品制造商自2022年1月1日至今，具有同类午休课桌椅维修服务</w:t>
            </w:r>
            <w:r>
              <w:rPr>
                <w:rFonts w:hint="eastAsia" w:ascii="仿宋" w:hAnsi="仿宋" w:eastAsia="仿宋" w:cs="仿宋"/>
                <w:bCs/>
                <w:color w:val="auto"/>
                <w:sz w:val="24"/>
                <w:szCs w:val="24"/>
                <w:highlight w:val="none"/>
                <w:lang w:val="en-US" w:eastAsia="zh-CN"/>
              </w:rPr>
              <w:t xml:space="preserve">证明</w:t>
            </w:r>
            <w:r>
              <w:rPr>
                <w:rFonts w:hint="eastAsia" w:ascii="仿宋" w:hAnsi="仿宋" w:eastAsia="仿宋" w:cs="仿宋"/>
                <w:bCs/>
                <w:color w:val="auto"/>
                <w:sz w:val="24"/>
                <w:szCs w:val="24"/>
                <w:highlight w:val="none"/>
              </w:rPr>
              <w:t xml:space="preserve">，每提供1个</w:t>
            </w:r>
            <w:r>
              <w:rPr>
                <w:rFonts w:hint="eastAsia" w:ascii="仿宋" w:hAnsi="仿宋" w:eastAsia="仿宋" w:cs="仿宋"/>
                <w:bCs/>
                <w:color w:val="auto"/>
                <w:sz w:val="24"/>
                <w:szCs w:val="24"/>
                <w:highlight w:val="none"/>
                <w:lang w:val="en-US" w:eastAsia="zh-CN"/>
              </w:rPr>
              <w:t xml:space="preserve">证明材料</w:t>
            </w:r>
            <w:r>
              <w:rPr>
                <w:rFonts w:hint="eastAsia" w:ascii="仿宋" w:hAnsi="仿宋" w:eastAsia="仿宋" w:cs="仿宋"/>
                <w:bCs/>
                <w:color w:val="auto"/>
                <w:sz w:val="24"/>
                <w:szCs w:val="24"/>
                <w:highlight w:val="none"/>
              </w:rPr>
              <w:t xml:space="preserve">得0.5分，</w:t>
            </w:r>
            <w:r>
              <w:rPr>
                <w:rFonts w:hint="eastAsia" w:ascii="仿宋" w:hAnsi="仿宋" w:eastAsia="仿宋" w:cs="仿宋"/>
                <w:bCs/>
                <w:color w:val="auto"/>
                <w:sz w:val="24"/>
                <w:szCs w:val="24"/>
                <w:highlight w:val="none"/>
                <w:lang w:val="en-US" w:eastAsia="zh-CN"/>
              </w:rPr>
              <w:t xml:space="preserve">本项最高得</w:t>
            </w:r>
            <w:r>
              <w:rPr>
                <w:rFonts w:hint="eastAsia" w:ascii="仿宋" w:hAnsi="仿宋" w:eastAsia="仿宋" w:cs="仿宋"/>
                <w:bCs/>
                <w:color w:val="auto"/>
                <w:sz w:val="24"/>
                <w:szCs w:val="24"/>
                <w:highlight w:val="none"/>
              </w:rPr>
              <w:t xml:space="preserve">2分。</w:t>
            </w:r>
            <w:r>
              <w:rPr>
                <w:rFonts w:hint="eastAsia" w:ascii="仿宋" w:hAnsi="仿宋" w:eastAsia="仿宋" w:cs="仿宋"/>
                <w:bCs/>
                <w:color w:val="auto"/>
                <w:sz w:val="24"/>
                <w:szCs w:val="24"/>
                <w:highlight w:val="none"/>
                <w:lang w:val="en-US" w:eastAsia="zh-CN"/>
              </w:rPr>
              <w:t xml:space="preserve">需</w:t>
            </w:r>
            <w:r>
              <w:rPr>
                <w:rFonts w:hint="eastAsia" w:ascii="仿宋" w:hAnsi="仿宋" w:eastAsia="仿宋" w:cs="仿宋"/>
                <w:bCs/>
                <w:color w:val="auto"/>
                <w:sz w:val="24"/>
                <w:szCs w:val="24"/>
                <w:highlight w:val="none"/>
              </w:rPr>
              <w:t xml:space="preserve">提供</w:t>
            </w:r>
            <w:r>
              <w:rPr>
                <w:rFonts w:hint="eastAsia" w:ascii="仿宋" w:hAnsi="仿宋" w:eastAsia="仿宋" w:cs="仿宋"/>
                <w:bCs/>
                <w:color w:val="auto"/>
                <w:sz w:val="24"/>
                <w:szCs w:val="24"/>
                <w:highlight w:val="none"/>
                <w:lang w:val="en-US" w:eastAsia="zh-CN"/>
              </w:rPr>
              <w:t xml:space="preserve">相关</w:t>
            </w:r>
            <w:r>
              <w:rPr>
                <w:rFonts w:hint="eastAsia" w:ascii="仿宋" w:hAnsi="仿宋" w:eastAsia="仿宋" w:cs="仿宋"/>
                <w:bCs/>
                <w:color w:val="auto"/>
                <w:sz w:val="24"/>
                <w:szCs w:val="24"/>
                <w:highlight w:val="none"/>
              </w:rPr>
              <w:t xml:space="preserve">维修服务</w:t>
            </w:r>
            <w:r>
              <w:rPr>
                <w:rFonts w:hint="eastAsia" w:ascii="仿宋" w:hAnsi="仿宋" w:eastAsia="仿宋" w:cs="仿宋"/>
                <w:bCs/>
                <w:color w:val="auto"/>
                <w:sz w:val="24"/>
                <w:szCs w:val="24"/>
                <w:highlight w:val="none"/>
                <w:lang w:val="en-US" w:eastAsia="zh-CN"/>
              </w:rPr>
              <w:t xml:space="preserve">完工证明</w:t>
            </w:r>
            <w:r>
              <w:rPr>
                <w:rFonts w:hint="eastAsia" w:ascii="仿宋" w:hAnsi="仿宋" w:eastAsia="仿宋" w:cs="仿宋"/>
                <w:bCs/>
                <w:color w:val="auto"/>
                <w:sz w:val="24"/>
                <w:szCs w:val="24"/>
                <w:highlight w:val="none"/>
              </w:rPr>
              <w:t xml:space="preserve">等</w:t>
            </w:r>
            <w:r>
              <w:rPr>
                <w:rFonts w:hint="eastAsia" w:ascii="仿宋" w:hAnsi="仿宋" w:eastAsia="仿宋" w:cs="仿宋"/>
                <w:bCs/>
                <w:color w:val="auto"/>
                <w:sz w:val="24"/>
                <w:szCs w:val="24"/>
                <w:highlight w:val="none"/>
                <w:lang w:val="en-US" w:eastAsia="zh-CN"/>
              </w:rPr>
              <w:t xml:space="preserve">扫描件并</w:t>
            </w:r>
            <w:r>
              <w:rPr>
                <w:rFonts w:hint="eastAsia" w:ascii="仿宋" w:hAnsi="仿宋" w:eastAsia="仿宋" w:cs="仿宋"/>
                <w:bCs/>
                <w:color w:val="auto"/>
                <w:sz w:val="24"/>
                <w:szCs w:val="24"/>
                <w:highlight w:val="none"/>
              </w:rPr>
              <w:t xml:space="preserve">加盖</w:t>
            </w:r>
            <w:r>
              <w:rPr>
                <w:rFonts w:hint="eastAsia" w:ascii="仿宋" w:hAnsi="仿宋" w:eastAsia="仿宋" w:cs="仿宋"/>
                <w:bCs/>
                <w:color w:val="auto"/>
                <w:sz w:val="24"/>
                <w:szCs w:val="24"/>
                <w:highlight w:val="none"/>
                <w:lang w:val="en-US" w:eastAsia="zh-CN"/>
              </w:rPr>
              <w:t xml:space="preserve">投标人</w:t>
            </w:r>
            <w:r>
              <w:rPr>
                <w:rFonts w:hint="eastAsia" w:ascii="仿宋" w:hAnsi="仿宋" w:eastAsia="仿宋" w:cs="仿宋"/>
                <w:bCs/>
                <w:color w:val="auto"/>
                <w:sz w:val="24"/>
                <w:szCs w:val="24"/>
                <w:highlight w:val="none"/>
              </w:rPr>
              <w:t xml:space="preserve">公章，未提供有效佐证资料不得分。</w:t>
            </w:r>
            <w:r/>
          </w:p>
        </w:tc>
      </w:tr>
      <w:tr>
        <w:trPr>
          <w:jc w:val="center"/>
        </w:trPr>
        <w:tc>
          <w:tcPr>
            <w:tcW w:w="672"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W w:w="1117"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生产计划方案</w:t>
            </w:r>
            <w:r/>
          </w:p>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（6分）</w:t>
            </w:r>
            <w:r/>
          </w:p>
        </w:tc>
        <w:tc>
          <w:tcPr>
            <w:gridSpan w:val="2"/>
            <w:tcW w:w="7810" w:type="dxa"/>
            <w:vAlign w:val="center"/>
            <w:textDirection w:val="lrTb"/>
            <w:noWrap w:val="false"/>
          </w:tcPr>
          <w:p>
            <w:pPr>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评委委员会依据投标人编制的本项目生产计划方案，围绕原材料组织保障、生产工艺流程规划、生产设备配置安排、生产进度管控等方面进行综合评审打分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方案内容包含以下4项内容的：①原材料组织保障措施；②生产工艺流程规划；③生产设备配置安排；④生产进度管控措施。 </w:t>
            </w:r>
            <w:r/>
          </w:p>
          <w:p>
            <w:pPr>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注：上述</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个方面每一项内容得分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分，每有一项内容存在缺陷或不足的内容不得分。本项最高得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分；照抄</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文件或未提供的不得分。</w:t>
            </w:r>
            <w:r/>
          </w:p>
        </w:tc>
      </w:tr>
      <w:tr>
        <w:trPr>
          <w:jc w:val="center"/>
        </w:trPr>
        <w:tc>
          <w:tcPr>
            <w:tcW w:w="672"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tcW w:w="1117"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实施方案</w:t>
            </w:r>
            <w:r/>
          </w:p>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（6分）</w:t>
            </w:r>
            <w:r/>
          </w:p>
        </w:tc>
        <w:tc>
          <w:tcPr>
            <w:gridSpan w:val="2"/>
            <w:tcW w:w="7810" w:type="dxa"/>
            <w:vAlign w:val="center"/>
            <w:textDirection w:val="lrTb"/>
            <w:noWrap w:val="false"/>
          </w:tcPr>
          <w:p>
            <w:pPr>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评委委员会依据投标人编制供货实施方案，围绕供货运输过程中的产品保护措施、产品装卸过程中保护措施、安装过程专业人员操作规范制度等方面进行综合评审打分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方案内容包含以下3项内容的：①运输过程中的产品保护措施；②产品装卸过程中的保护措施；③安装过程专业人员操作规范制度。</w:t>
            </w:r>
            <w:r/>
          </w:p>
          <w:p>
            <w:pPr>
              <w:pStyle w:val="913"/>
              <w:rPr>
                <w:rFonts w:hint="eastAsia"/>
              </w:rPr>
            </w:pPr>
            <w:r>
              <w:rPr>
                <w:rFonts w:hint="eastAsia" w:ascii="仿宋" w:hAnsi="仿宋" w:eastAsia="仿宋" w:cs="仿宋"/>
                <w:color w:val="auto"/>
                <w:sz w:val="24"/>
                <w:szCs w:val="24"/>
                <w:highlight w:val="none"/>
              </w:rPr>
              <w:t xml:space="preserve">注：上述</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个方面每一项内容得分</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分，每有一项内容存在缺陷或不足的内容不得分。本项最高得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分；照抄</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文件或未提供的不得分。</w:t>
            </w:r>
            <w:r/>
          </w:p>
        </w:tc>
      </w:tr>
      <w:tr>
        <w:trPr>
          <w:jc w:val="center"/>
        </w:trPr>
        <w:tc>
          <w:tcPr>
            <w:tcW w:w="672"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W w:w="1117"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售后服务方案</w:t>
            </w:r>
            <w:r/>
          </w:p>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（6分）</w:t>
            </w:r>
            <w:r/>
          </w:p>
        </w:tc>
        <w:tc>
          <w:tcPr>
            <w:gridSpan w:val="2"/>
            <w:tcW w:w="7810" w:type="dxa"/>
            <w:vAlign w:val="center"/>
            <w:textDirection w:val="lrTb"/>
            <w:noWrap w:val="false"/>
          </w:tcPr>
          <w:p>
            <w:pPr>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评标委员会依据投标人提供的项目售后服务方案，从售后服务内容、故障报修及处置解决方案、售后响应时效保障、专业技术人员配置保障、24小时服务联络保障等方面进行综合评审打分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方案内容包含以下</w:t>
            </w:r>
            <w:r>
              <w:rPr>
                <w:rFonts w:ascii="仿宋" w:hAnsi="仿宋" w:eastAsia="仿宋" w:cs="仿宋"/>
                <w:bCs/>
                <w:color w:val="auto"/>
                <w:sz w:val="24"/>
                <w:szCs w:val="24"/>
                <w:highlight w:val="none"/>
              </w:rPr>
              <w:t xml:space="preserve">5</w:t>
            </w:r>
            <w:r>
              <w:rPr>
                <w:rFonts w:hint="eastAsia" w:ascii="仿宋" w:hAnsi="仿宋" w:eastAsia="仿宋" w:cs="仿宋"/>
                <w:bCs/>
                <w:color w:val="auto"/>
                <w:sz w:val="24"/>
                <w:szCs w:val="24"/>
                <w:highlight w:val="none"/>
              </w:rPr>
              <w:t xml:space="preserve">项内容的：①售后服务内容；②故障报修及处置解决方案；③售后响应时效保障措施；④专业技术人员配置保障；⑤24小时服务联络保障机制。</w:t>
            </w:r>
            <w:r/>
          </w:p>
          <w:p>
            <w:pPr>
              <w:pStyle w:val="913"/>
              <w:rPr>
                <w:rFonts w:hint="eastAsia"/>
              </w:rPr>
            </w:pPr>
            <w:r>
              <w:rPr>
                <w:rFonts w:hint="eastAsia" w:ascii="仿宋" w:hAnsi="仿宋" w:eastAsia="仿宋" w:cs="仿宋"/>
                <w:color w:val="auto"/>
                <w:sz w:val="24"/>
                <w:szCs w:val="24"/>
                <w:highlight w:val="none"/>
              </w:rPr>
              <w:t xml:space="preserve">注：上述</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个方面每一项内容得分</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分，每有一项内容存在缺陷或不足的内容不得分。本项最高得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分；照抄</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文件或未提供的不得分。</w:t>
            </w:r>
            <w:r/>
          </w:p>
        </w:tc>
      </w:tr>
      <w:tr>
        <w:trPr>
          <w:jc w:val="center"/>
        </w:trPr>
        <w:tc>
          <w:tcPr>
            <w:tcW w:w="672"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w:t>
            </w:r>
            <w:r/>
          </w:p>
        </w:tc>
        <w:tc>
          <w:tcPr>
            <w:tcW w:w="1117" w:type="dxa"/>
            <w:vAlign w:val="center"/>
            <w:textDirection w:val="lrTb"/>
            <w:noWrap w:val="false"/>
          </w:tcPr>
          <w:p>
            <w:pPr>
              <w:jc w:val="center"/>
              <w:keepLines w:val="0"/>
              <w:keepNext w:val="0"/>
              <w:pageBreakBefore w:val="0"/>
              <w:spacing w:line="300" w:lineRule="exact"/>
              <w:widowControl w:val="off"/>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维保期（5分）</w:t>
            </w:r>
            <w:r/>
          </w:p>
        </w:tc>
        <w:tc>
          <w:tcPr>
            <w:gridSpan w:val="2"/>
            <w:tcW w:w="7810" w:type="dxa"/>
            <w:vAlign w:val="center"/>
            <w:textDirection w:val="lrTb"/>
            <w:noWrap w:val="false"/>
          </w:tcPr>
          <w:p>
            <w:pPr>
              <w:keepLines w:val="0"/>
              <w:keepNext w:val="0"/>
              <w:pageBreakBefore w:val="0"/>
              <w:spacing w:line="30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提供免费维保承诺函，在满足招标文件质保基本要求的基础上，每增加1年加2.5分，最多得5分。免费维保承诺函格式自拟（须加盖投标人公章）。</w:t>
            </w:r>
            <w:r/>
          </w:p>
        </w:tc>
      </w:tr>
      <w:tr>
        <w:trPr>
          <w:jc w:val="center"/>
        </w:trPr>
        <w:tc>
          <w:tcPr>
            <w:gridSpan w:val="4"/>
            <w:tcW w:w="9599" w:type="dxa"/>
            <w:vAlign w:val="center"/>
            <w:textDirection w:val="lrTb"/>
            <w:noWrap w:val="false"/>
          </w:tcPr>
          <w:p>
            <w:pPr>
              <w:ind w:left="0" w:firstLine="420"/>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备注：以上评标方法与评标标准中所体现的“内容存在缺陷或不足”是指：非专门针对本项目或内容不全面不切合实际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rPr>
          <w:color w:val="auto"/>
          <w:highlight w:val="none"/>
        </w:rPr>
      </w:pPr>
      <w:r>
        <w:rPr>
          <w:color w:val="auto"/>
          <w:highlight w:val="none"/>
        </w:rPr>
      </w:r>
      <w:r/>
    </w:p>
    <w:p>
      <w:pPr>
        <w:rPr>
          <w:color w:val="auto"/>
          <w:highlight w:val="none"/>
        </w:rPr>
      </w:pPr>
      <w:r>
        <w:rPr>
          <w:color w:val="auto"/>
          <w:highlight w:val="none"/>
        </w:rPr>
      </w:r>
      <w:r/>
    </w:p>
    <w:p>
      <w:pPr>
        <w:pStyle w:val="924"/>
        <w:rPr>
          <w:color w:val="auto"/>
          <w:highlight w:val="none"/>
          <w:lang w:eastAsia="zh-CN"/>
        </w:rPr>
      </w:pPr>
      <w:r>
        <w:rPr>
          <w:color w:val="auto"/>
          <w:highlight w:val="none"/>
          <w:lang w:eastAsia="zh-CN"/>
        </w:rPr>
      </w:r>
      <w:r/>
    </w:p>
    <w:p>
      <w:pPr>
        <w:rPr>
          <w:color w:val="auto"/>
          <w:highlight w:val="none"/>
        </w:rPr>
      </w:pPr>
      <w:r>
        <w:rPr>
          <w:color w:val="auto"/>
          <w:highlight w:val="none"/>
        </w:rPr>
      </w:r>
      <w:r/>
    </w:p>
    <w:p>
      <w:pPr>
        <w:pStyle w:val="924"/>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rFonts w:ascii="仿宋" w:hAnsi="仿宋" w:eastAsia="仿宋" w:cs="仿宋"/>
          <w:b/>
          <w:color w:val="auto"/>
          <w:sz w:val="44"/>
          <w:szCs w:val="28"/>
          <w:highlight w:val="none"/>
        </w:rPr>
      </w:pPr>
      <w:r/>
      <w:bookmarkStart w:id="6" w:name="__RefHeading___Toc5763"/>
      <w:r>
        <w:rPr>
          <w:rFonts w:ascii="仿宋" w:hAnsi="仿宋" w:eastAsia="仿宋" w:cs="仿宋"/>
          <w:b/>
          <w:color w:val="auto"/>
          <w:sz w:val="44"/>
          <w:szCs w:val="28"/>
          <w:highlight w:val="none"/>
        </w:rPr>
        <w:br w:type="page" w:clear="all"/>
      </w:r>
      <w:r/>
    </w:p>
    <w:p>
      <w:pPr>
        <w:jc w:val="center"/>
        <w:keepNext/>
        <w:rPr>
          <w:rFonts w:ascii="仿宋" w:hAnsi="仿宋" w:eastAsia="仿宋" w:cs="仿宋"/>
          <w:b/>
          <w:color w:val="auto"/>
          <w:sz w:val="44"/>
          <w:szCs w:val="28"/>
          <w:highlight w:val="none"/>
        </w:rPr>
        <w:outlineLvl w:val="0"/>
      </w:pPr>
      <w:r>
        <w:rPr>
          <w:rFonts w:ascii="仿宋" w:hAnsi="仿宋" w:eastAsia="仿宋" w:cs="仿宋"/>
          <w:b/>
          <w:color w:val="auto"/>
          <w:sz w:val="44"/>
          <w:szCs w:val="28"/>
          <w:highlight w:val="none"/>
        </w:rPr>
        <w:t xml:space="preserve">第六章  投标文件格式</w:t>
      </w:r>
      <w:bookmarkEnd w:id="6"/>
      <w:r>
        <w:rPr>
          <w:rFonts w:ascii="仿宋" w:hAnsi="仿宋" w:eastAsia="仿宋" w:cs="仿宋"/>
          <w:b/>
          <w:color w:val="auto"/>
          <w:sz w:val="44"/>
          <w:szCs w:val="28"/>
          <w:highlight w:val="none"/>
        </w:rPr>
        <w:t xml:space="preserve"> </w:t>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t xml:space="preserve">投  标  文  件</w:t>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ind w:firstLine="1084"/>
        <w:rPr>
          <w:rFonts w:ascii="仿宋" w:hAnsi="仿宋" w:eastAsia="仿宋" w:cs="仿宋"/>
          <w:b/>
          <w:color w:val="auto"/>
          <w:sz w:val="36"/>
          <w:szCs w:val="21"/>
          <w:highlight w:val="none"/>
        </w:rPr>
      </w:pPr>
      <w:r>
        <w:rPr>
          <w:rFonts w:ascii="仿宋" w:hAnsi="仿宋" w:eastAsia="仿宋" w:cs="仿宋"/>
          <w:b/>
          <w:color w:val="auto"/>
          <w:sz w:val="36"/>
          <w:szCs w:val="21"/>
          <w:highlight w:val="none"/>
        </w:rPr>
        <w:t xml:space="preserve">项 目 名 称：</w:t>
      </w:r>
      <w:r>
        <w:rPr>
          <w:rFonts w:ascii="仿宋" w:hAnsi="仿宋" w:eastAsia="仿宋" w:cs="仿宋"/>
          <w:b/>
          <w:color w:val="auto"/>
          <w:sz w:val="36"/>
          <w:szCs w:val="21"/>
          <w:highlight w:val="none"/>
          <w:u w:val="single"/>
        </w:rPr>
        <w:t xml:space="preserve">               </w:t>
      </w:r>
      <w:r/>
    </w:p>
    <w:p>
      <w:pPr>
        <w:ind w:firstLine="1084"/>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项 目 编 号：</w:t>
      </w:r>
      <w:r>
        <w:rPr>
          <w:rFonts w:ascii="仿宋" w:hAnsi="仿宋" w:eastAsia="仿宋" w:cs="仿宋"/>
          <w:b/>
          <w:color w:val="auto"/>
          <w:sz w:val="36"/>
          <w:szCs w:val="21"/>
          <w:highlight w:val="none"/>
          <w:u w:val="single"/>
        </w:rPr>
        <w:t xml:space="preserve">               </w:t>
      </w:r>
      <w:r/>
    </w:p>
    <w:p>
      <w:pPr>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      投标人名称 ：</w:t>
      </w:r>
      <w:r>
        <w:rPr>
          <w:rFonts w:ascii="仿宋" w:hAnsi="仿宋" w:eastAsia="仿宋" w:cs="仿宋"/>
          <w:b/>
          <w:color w:val="auto"/>
          <w:sz w:val="36"/>
          <w:szCs w:val="21"/>
          <w:highlight w:val="none"/>
          <w:u w:val="single"/>
        </w:rPr>
        <w:t xml:space="preserve">（加盖CA电子公章）</w:t>
      </w:r>
      <w:r/>
    </w:p>
    <w:p>
      <w:pPr>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      日      期 ：</w:t>
      </w:r>
      <w:r>
        <w:rPr>
          <w:rFonts w:ascii="仿宋" w:hAnsi="仿宋" w:eastAsia="仿宋" w:cs="仿宋"/>
          <w:b/>
          <w:color w:val="auto"/>
          <w:sz w:val="36"/>
          <w:szCs w:val="21"/>
          <w:highlight w:val="none"/>
          <w:u w:val="single"/>
        </w:rPr>
        <w:t xml:space="preserve">               </w:t>
      </w:r>
      <w:r/>
    </w:p>
    <w:p>
      <w:pPr>
        <w:jc w:val="center"/>
        <w:spacing w:line="440" w:lineRule="exact"/>
        <w:rPr>
          <w:rFonts w:ascii="仿宋" w:hAnsi="仿宋" w:eastAsia="仿宋" w:cs="仿宋"/>
          <w:b/>
          <w:bCs/>
          <w:color w:val="auto"/>
          <w:sz w:val="32"/>
          <w:szCs w:val="32"/>
          <w:highlight w:val="none"/>
          <w:u w:val="single"/>
        </w:rPr>
      </w:pPr>
      <w:r>
        <w:rPr>
          <w:rFonts w:ascii="仿宋" w:hAnsi="仿宋" w:eastAsia="仿宋" w:cs="仿宋"/>
          <w:b/>
          <w:bCs/>
          <w:color w:val="auto"/>
          <w:sz w:val="32"/>
          <w:szCs w:val="32"/>
          <w:highlight w:val="none"/>
          <w:u w:val="single"/>
        </w:rPr>
      </w:r>
      <w:r/>
    </w:p>
    <w:p>
      <w:pPr>
        <w:spacing w:line="440" w:lineRule="exact"/>
        <w:rPr>
          <w:rFonts w:ascii="仿宋" w:hAnsi="仿宋" w:eastAsia="仿宋" w:cs="仿宋"/>
          <w:b/>
          <w:bCs/>
          <w:color w:val="auto"/>
          <w:sz w:val="32"/>
          <w:szCs w:val="21"/>
          <w:highlight w:val="none"/>
        </w:rPr>
      </w:pPr>
      <w:r>
        <w:rPr>
          <w:color w:val="auto"/>
          <w:highlight w:val="none"/>
        </w:rPr>
        <w:br w:type="page" w:clear="all"/>
      </w:r>
      <w:r/>
    </w:p>
    <w:p>
      <w:pPr>
        <w:jc w:val="center"/>
        <w:keepLines w:val="0"/>
        <w:keepNext w:val="0"/>
        <w:pageBreakBefore w:val="0"/>
        <w:spacing w:line="3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投标文件的组成</w:t>
      </w:r>
      <w:r/>
    </w:p>
    <w:p>
      <w:pPr>
        <w:ind w:left="480"/>
        <w:keepLines w:val="0"/>
        <w:keepNext w:val="0"/>
        <w:pageBreakBefore w:val="0"/>
        <w:spacing w:line="360" w:lineRule="exact"/>
        <w:widowControl w:val="off"/>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一、基本目录</w:t>
      </w:r>
      <w:r/>
    </w:p>
    <w:p>
      <w:pPr>
        <w:ind w:left="480"/>
        <w:keepLines w:val="0"/>
        <w:keepNext w:val="0"/>
        <w:pageBreakBefore w:val="0"/>
        <w:spacing w:line="36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1.开标一览表（格式见附件1）</w:t>
      </w:r>
      <w:r/>
    </w:p>
    <w:p>
      <w:pPr>
        <w:ind w:left="480"/>
        <w:keepLines w:val="0"/>
        <w:keepNext w:val="0"/>
        <w:pageBreakBefore w:val="0"/>
        <w:spacing w:line="36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2.投标分项报价表（格式见附件2）</w:t>
      </w:r>
      <w:r/>
    </w:p>
    <w:p>
      <w:pPr>
        <w:ind w:left="480"/>
        <w:keepLines w:val="0"/>
        <w:keepNext w:val="0"/>
        <w:pageBreakBefore w:val="0"/>
        <w:spacing w:line="360" w:lineRule="exact"/>
        <w:widowControl w:val="off"/>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二、资格审查内容</w:t>
      </w:r>
      <w:r/>
    </w:p>
    <w:p>
      <w:pPr>
        <w:ind w:firstLine="480"/>
        <w:keepLines w:val="0"/>
        <w:keepNext w:val="0"/>
        <w:pageBreakBefore w:val="0"/>
        <w:spacing w:line="36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1.投标人符合《中华人民共和国政府采购法》第二十二条规定条件的声明函（</w:t>
      </w:r>
      <w:r>
        <w:rPr>
          <w:rFonts w:ascii="仿宋" w:hAnsi="仿宋" w:eastAsia="仿宋" w:cs="仿宋"/>
          <w:color w:val="auto"/>
          <w:sz w:val="24"/>
          <w:szCs w:val="21"/>
          <w:highlight w:val="none"/>
          <w:lang w:val="zh-CN"/>
        </w:rPr>
        <w:t xml:space="preserve">格式见附件</w:t>
      </w:r>
      <w:r>
        <w:rPr>
          <w:rFonts w:ascii="仿宋" w:hAnsi="仿宋" w:eastAsia="仿宋" w:cs="仿宋"/>
          <w:color w:val="auto"/>
          <w:sz w:val="24"/>
          <w:szCs w:val="21"/>
          <w:highlight w:val="none"/>
        </w:rPr>
        <w:t xml:space="preserve">3）</w:t>
      </w:r>
      <w:r/>
    </w:p>
    <w:p>
      <w:pPr>
        <w:ind w:firstLine="480"/>
        <w:keepLines w:val="0"/>
        <w:keepNext w:val="0"/>
        <w:pageBreakBefore w:val="0"/>
        <w:spacing w:line="36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2.法定代表人身份证明（格式见附件4）、</w:t>
      </w:r>
      <w:r>
        <w:rPr>
          <w:rFonts w:ascii="仿宋" w:hAnsi="仿宋" w:eastAsia="仿宋" w:cs="仿宋"/>
          <w:color w:val="auto"/>
          <w:sz w:val="24"/>
          <w:szCs w:val="21"/>
          <w:highlight w:val="none"/>
          <w:lang w:val="zh-CN"/>
        </w:rPr>
        <w:t xml:space="preserve">法定代表人的身份证</w:t>
      </w:r>
      <w:r>
        <w:rPr>
          <w:rFonts w:ascii="仿宋" w:hAnsi="仿宋" w:eastAsia="仿宋" w:cs="仿宋"/>
          <w:color w:val="auto"/>
          <w:sz w:val="24"/>
          <w:szCs w:val="21"/>
          <w:highlight w:val="none"/>
        </w:rPr>
        <w:t xml:space="preserve">扫描件</w:t>
      </w:r>
      <w:r/>
    </w:p>
    <w:p>
      <w:pPr>
        <w:ind w:firstLine="480"/>
        <w:keepLines w:val="0"/>
        <w:keepNext w:val="0"/>
        <w:pageBreakBefore w:val="0"/>
        <w:spacing w:line="36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3.法人授权书（格式见附件5）、被授权</w:t>
      </w:r>
      <w:r>
        <w:rPr>
          <w:rFonts w:ascii="仿宋" w:hAnsi="仿宋" w:eastAsia="仿宋" w:cs="仿宋"/>
          <w:color w:val="auto"/>
          <w:sz w:val="24"/>
          <w:szCs w:val="21"/>
          <w:highlight w:val="none"/>
          <w:lang w:val="zh-CN"/>
        </w:rPr>
        <w:t xml:space="preserve">人身份证</w:t>
      </w:r>
      <w:r>
        <w:rPr>
          <w:rFonts w:ascii="仿宋" w:hAnsi="仿宋" w:eastAsia="仿宋" w:cs="仿宋"/>
          <w:color w:val="auto"/>
          <w:sz w:val="24"/>
          <w:szCs w:val="21"/>
          <w:highlight w:val="none"/>
        </w:rPr>
        <w:t xml:space="preserve">扫描件</w:t>
      </w:r>
      <w:r/>
    </w:p>
    <w:p>
      <w:pPr>
        <w:ind w:firstLine="480"/>
        <w:keepLines w:val="0"/>
        <w:keepNext w:val="0"/>
        <w:pageBreakBefore w:val="0"/>
        <w:spacing w:line="36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4.投标函（格式见附件6）</w:t>
      </w:r>
      <w:r/>
    </w:p>
    <w:p>
      <w:pPr>
        <w:ind w:firstLine="480"/>
        <w:keepLines w:val="0"/>
        <w:keepNext w:val="0"/>
        <w:pageBreakBefore w:val="0"/>
        <w:spacing w:line="360" w:lineRule="exact"/>
        <w:widowControl w:val="off"/>
        <w:rPr>
          <w:rFonts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en-US" w:eastAsia="zh-CN"/>
        </w:rPr>
        <w:t xml:space="preserve">5</w:t>
      </w:r>
      <w:r>
        <w:rPr>
          <w:rFonts w:hint="eastAsia" w:ascii="仿宋" w:hAnsi="仿宋" w:eastAsia="仿宋" w:cs="仿宋"/>
          <w:color w:val="auto"/>
          <w:sz w:val="24"/>
          <w:szCs w:val="21"/>
          <w:highlight w:val="none"/>
          <w:lang w:val="zh-CN"/>
        </w:rPr>
        <w:t xml:space="preserve">.中小企业声明函（如果本项目专门面向中小微型企业采购，则必须提供。格式见附件7）</w:t>
      </w:r>
      <w:r/>
    </w:p>
    <w:p>
      <w:pPr>
        <w:ind w:firstLine="480"/>
        <w:keepLines w:val="0"/>
        <w:keepNext w:val="0"/>
        <w:pageBreakBefore w:val="0"/>
        <w:spacing w:line="360" w:lineRule="exact"/>
        <w:widowControl w:val="off"/>
        <w:rPr>
          <w:rFonts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en-US" w:eastAsia="zh-CN"/>
        </w:rPr>
        <w:t xml:space="preserve">6</w:t>
      </w:r>
      <w:r>
        <w:rPr>
          <w:rFonts w:hint="eastAsia" w:ascii="仿宋" w:hAnsi="仿宋" w:eastAsia="仿宋" w:cs="仿宋"/>
          <w:color w:val="auto"/>
          <w:sz w:val="24"/>
          <w:szCs w:val="21"/>
          <w:highlight w:val="none"/>
          <w:lang w:val="zh-CN"/>
        </w:rPr>
        <w:t xml:space="preserve">.残疾人福利性单位声明函（如果本项目专门面向中小微型企业采购，供应商为残疾人福利性单位并提供本单位制造的货物，或者提供其他残疾人福利性单位制造的货物，则必须提供。格式见附件8）</w:t>
      </w:r>
      <w:r/>
    </w:p>
    <w:p>
      <w:pPr>
        <w:ind w:firstLine="480"/>
        <w:keepLines w:val="0"/>
        <w:keepNext w:val="0"/>
        <w:pageBreakBefore w:val="0"/>
        <w:spacing w:line="360" w:lineRule="exact"/>
        <w:widowControl w:val="off"/>
        <w:rPr>
          <w:rFonts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en-US" w:eastAsia="zh-CN"/>
        </w:rPr>
        <w:t xml:space="preserve">7</w:t>
      </w:r>
      <w:r>
        <w:rPr>
          <w:rFonts w:hint="eastAsia" w:ascii="仿宋" w:hAnsi="仿宋" w:eastAsia="仿宋" w:cs="仿宋"/>
          <w:color w:val="auto"/>
          <w:sz w:val="24"/>
          <w:szCs w:val="21"/>
          <w:highlight w:val="none"/>
          <w:lang w:val="zh-CN"/>
        </w:rPr>
        <w:t xml:space="preserve">.监狱和戒毒企业证明材料（如果本项目专门面向中小微型企业采购，供应商为监狱和戒毒企业的，则必须提供。格式见附件9）</w:t>
      </w:r>
      <w:r/>
    </w:p>
    <w:p>
      <w:pPr>
        <w:ind w:firstLine="480"/>
        <w:keepLines w:val="0"/>
        <w:keepNext w:val="0"/>
        <w:pageBreakBefore w:val="0"/>
        <w:spacing w:line="360" w:lineRule="exact"/>
        <w:widowControl w:val="off"/>
        <w:rPr>
          <w:rFonts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en-US" w:eastAsia="zh-CN"/>
        </w:rPr>
        <w:t xml:space="preserve">8</w:t>
      </w:r>
      <w:r>
        <w:rPr>
          <w:rFonts w:hint="eastAsia" w:ascii="仿宋" w:hAnsi="仿宋" w:eastAsia="仿宋" w:cs="仿宋"/>
          <w:color w:val="auto"/>
          <w:sz w:val="24"/>
          <w:szCs w:val="21"/>
          <w:highlight w:val="none"/>
          <w:lang w:val="zh-CN"/>
        </w:rPr>
        <w:t xml:space="preserve">.其它需要提交的资格审查证明材料</w:t>
      </w:r>
      <w:r>
        <w:rPr>
          <w:rFonts w:ascii="仿宋" w:hAnsi="仿宋" w:eastAsia="仿宋" w:cs="仿宋"/>
          <w:color w:val="auto"/>
          <w:sz w:val="24"/>
          <w:szCs w:val="21"/>
          <w:highlight w:val="none"/>
          <w:lang w:val="zh-CN"/>
        </w:rPr>
        <w:t xml:space="preserve">。</w:t>
      </w:r>
      <w:r/>
    </w:p>
    <w:p>
      <w:pPr>
        <w:ind w:left="480"/>
        <w:keepLines w:val="0"/>
        <w:keepNext w:val="0"/>
        <w:pageBreakBefore w:val="0"/>
        <w:spacing w:line="360" w:lineRule="exact"/>
        <w:widowControl w:val="off"/>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三、符合性审查内容</w:t>
      </w:r>
      <w:r/>
    </w:p>
    <w:p>
      <w:pPr>
        <w:ind w:left="480"/>
        <w:keepLines w:val="0"/>
        <w:keepNext w:val="0"/>
        <w:pageBreakBefore w:val="0"/>
        <w:spacing w:line="36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1.技术要求响应及偏离表（格式见附件10）</w:t>
      </w:r>
      <w:r/>
    </w:p>
    <w:p>
      <w:pPr>
        <w:ind w:firstLine="480"/>
        <w:keepLines w:val="0"/>
        <w:keepNext w:val="0"/>
        <w:pageBreakBefore w:val="0"/>
        <w:spacing w:line="36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2.商务要求响应及偏离表（格式见附件11）</w:t>
      </w:r>
      <w:r/>
    </w:p>
    <w:p>
      <w:pPr>
        <w:ind w:firstLine="480"/>
        <w:keepLines w:val="0"/>
        <w:keepNext w:val="0"/>
        <w:pageBreakBefore w:val="0"/>
        <w:spacing w:line="36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3.实质性要求响应及偏离表（格式见附件12），投标人必须对技术要求和商务要求中加斜体下划线的实质性要求做出响应，并按照招标文件要求提供证明材料，否则做无效响应处理。</w:t>
      </w:r>
      <w:r/>
    </w:p>
    <w:p>
      <w:pPr>
        <w:ind w:firstLine="480"/>
        <w:keepLines w:val="0"/>
        <w:keepNext w:val="0"/>
        <w:pageBreakBefore w:val="0"/>
        <w:spacing w:line="36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rPr>
        <w:t xml:space="preserve">.“教育体育系统公共资源交易” 扫描二维码并填写完成后的截图。</w:t>
      </w:r>
      <w:r/>
    </w:p>
    <w:p>
      <w:pPr>
        <w:ind w:firstLine="142"/>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color w:val="auto"/>
          <w:highlight w:val="none"/>
        </w:rPr>
        <mc:AlternateContent>
          <mc:Choice Requires="wpg">
            <w:drawing>
              <wp:inline xmlns:wp="http://schemas.openxmlformats.org/drawingml/2006/wordprocessingDrawing" distT="0" distB="0" distL="0" distR="0">
                <wp:extent cx="803910" cy="860425"/>
                <wp:effectExtent l="0" t="0" r="5715" b="6350"/>
                <wp:docPr id="2" name="_x0000_i1026"/>
                <wp:cNvGraphicFramePr/>
                <a:graphic xmlns:a="http://schemas.openxmlformats.org/drawingml/2006/main">
                  <a:graphicData uri="http://schemas.openxmlformats.org/drawingml/2006/picture">
                    <pic:pic xmlns:pic="http://schemas.openxmlformats.org/drawingml/2006/picture">
                      <pic:nvPicPr>
                        <pic:cNvPr id="1" name="_x0000_i1026"/>
                        <pic:cNvPicPr/>
                        <pic:nvPr/>
                      </pic:nvPicPr>
                      <pic:blipFill>
                        <a:blip r:embed="rId18"/>
                        <a:stretch/>
                      </pic:blipFill>
                      <pic:spPr bwMode="auto">
                        <a:xfrm>
                          <a:off x="0" y="0"/>
                          <a:ext cx="803910" cy="860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3.3pt;height:67.8pt;mso-wrap-distance-left:0.0pt;mso-wrap-distance-top:0.0pt;mso-wrap-distance-right:0.0pt;mso-wrap-distance-bottom:0.0pt;" stroked="false">
                <v:path textboxrect="0,0,0,0"/>
                <v:imagedata r:id="rId18" o:title=""/>
              </v:shape>
            </w:pict>
          </mc:Fallback>
        </mc:AlternateContent>
      </w:r>
      <w:r/>
    </w:p>
    <w:p>
      <w:pPr>
        <w:ind w:left="480"/>
        <w:keepLines w:val="0"/>
        <w:keepNext w:val="0"/>
        <w:pageBreakBefore w:val="0"/>
        <w:spacing w:line="360" w:lineRule="exact"/>
        <w:widowControl w:val="off"/>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四、</w:t>
      </w:r>
      <w:r>
        <w:rPr>
          <w:rFonts w:ascii="仿宋" w:hAnsi="仿宋" w:eastAsia="仿宋" w:cs="仿宋"/>
          <w:b/>
          <w:color w:val="auto"/>
          <w:sz w:val="24"/>
          <w:szCs w:val="21"/>
          <w:highlight w:val="none"/>
          <w:lang w:val="zh-CN"/>
        </w:rPr>
        <w:t xml:space="preserve">商务技术</w:t>
      </w:r>
      <w:r>
        <w:rPr>
          <w:rFonts w:ascii="仿宋" w:hAnsi="仿宋" w:eastAsia="仿宋" w:cs="仿宋"/>
          <w:b/>
          <w:color w:val="auto"/>
          <w:sz w:val="24"/>
          <w:szCs w:val="21"/>
          <w:highlight w:val="none"/>
        </w:rPr>
        <w:t xml:space="preserve">内容</w:t>
      </w:r>
      <w:r/>
    </w:p>
    <w:p>
      <w:pPr>
        <w:ind w:firstLine="480"/>
        <w:keepLines w:val="0"/>
        <w:keepNext w:val="0"/>
        <w:pageBreakBefore w:val="0"/>
        <w:spacing w:line="36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lang w:val="zh-CN"/>
        </w:rPr>
        <w:t xml:space="preserve">商务技术评分标准中须提供的相关得分佐证材料</w:t>
      </w:r>
      <w:r/>
    </w:p>
    <w:p>
      <w:pPr>
        <w:ind w:firstLine="480"/>
        <w:keepLines w:val="0"/>
        <w:keepNext w:val="0"/>
        <w:pageBreakBefore w:val="0"/>
        <w:spacing w:line="36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ascii="仿宋" w:hAnsi="仿宋" w:eastAsia="仿宋" w:cs="仿宋"/>
          <w:color w:val="auto"/>
          <w:sz w:val="24"/>
          <w:szCs w:val="24"/>
          <w:highlight w:val="none"/>
          <w:lang w:val="zh-CN"/>
        </w:rPr>
        <w:t xml:space="preserve">投标人认为需要提交的其他商务技术材料。</w:t>
      </w:r>
      <w:r/>
    </w:p>
    <w:p>
      <w:pPr>
        <w:ind w:left="480"/>
        <w:keepLines w:val="0"/>
        <w:keepNext w:val="0"/>
        <w:pageBreakBefore w:val="0"/>
        <w:spacing w:line="360" w:lineRule="exact"/>
        <w:widowControl w:val="off"/>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五、价格扣除证明文件</w:t>
      </w:r>
      <w:r/>
    </w:p>
    <w:p>
      <w:pPr>
        <w:ind w:firstLine="480"/>
        <w:keepLines w:val="0"/>
        <w:keepNext w:val="0"/>
        <w:pageBreakBefore w:val="0"/>
        <w:spacing w:line="36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1.中小企业声明函（格式见附件7）</w:t>
      </w:r>
      <w:r/>
    </w:p>
    <w:p>
      <w:pPr>
        <w:ind w:firstLine="480"/>
        <w:keepLines w:val="0"/>
        <w:keepNext w:val="0"/>
        <w:pageBreakBefore w:val="0"/>
        <w:spacing w:line="36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2.残疾人福利性单位声明函（格式见附件8）</w:t>
      </w:r>
      <w:r/>
    </w:p>
    <w:p>
      <w:pPr>
        <w:ind w:firstLine="480"/>
        <w:keepLines w:val="0"/>
        <w:keepNext w:val="0"/>
        <w:pageBreakBefore w:val="0"/>
        <w:spacing w:line="360" w:lineRule="exact"/>
        <w:widowControl w:val="off"/>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rPr>
        <w:t xml:space="preserve">3.监狱和戒毒企业证明材料</w:t>
      </w:r>
      <w:r>
        <w:rPr>
          <w:rFonts w:ascii="仿宋" w:hAnsi="仿宋" w:eastAsia="仿宋" w:cs="仿宋"/>
          <w:color w:val="auto"/>
          <w:sz w:val="24"/>
          <w:szCs w:val="24"/>
          <w:highlight w:val="none"/>
          <w:lang w:val="zh-CN"/>
        </w:rPr>
        <w:t xml:space="preserve">（格式见附件</w:t>
      </w:r>
      <w:r>
        <w:rPr>
          <w:rFonts w:ascii="仿宋" w:hAnsi="仿宋" w:eastAsia="仿宋" w:cs="仿宋"/>
          <w:color w:val="auto"/>
          <w:sz w:val="24"/>
          <w:szCs w:val="24"/>
          <w:highlight w:val="none"/>
        </w:rPr>
        <w:t xml:space="preserve">9</w:t>
      </w:r>
      <w:r>
        <w:rPr>
          <w:rFonts w:ascii="仿宋" w:hAnsi="仿宋" w:eastAsia="仿宋" w:cs="仿宋"/>
          <w:color w:val="auto"/>
          <w:sz w:val="24"/>
          <w:szCs w:val="24"/>
          <w:highlight w:val="none"/>
          <w:lang w:val="zh-CN"/>
        </w:rPr>
        <w:t xml:space="preserve">）</w:t>
      </w:r>
      <w:r/>
    </w:p>
    <w:p>
      <w:pPr>
        <w:ind w:firstLine="480"/>
        <w:keepLines w:val="0"/>
        <w:keepNext w:val="0"/>
        <w:pageBreakBefore w:val="0"/>
        <w:spacing w:line="360" w:lineRule="exact"/>
        <w:widowControl w:val="off"/>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4.关于符合本国产品标准的声明函（格式见附件14）</w:t>
      </w:r>
      <w:r/>
    </w:p>
    <w:p>
      <w:pPr>
        <w:rPr>
          <w:rFonts w:ascii="仿宋" w:hAnsi="仿宋" w:eastAsia="仿宋" w:cs="仿宋"/>
          <w:b/>
          <w:color w:val="auto"/>
          <w:sz w:val="24"/>
          <w:szCs w:val="24"/>
          <w:highlight w:val="none"/>
        </w:rPr>
      </w:pPr>
      <w:r>
        <w:rPr>
          <w:rFonts w:ascii="仿宋" w:hAnsi="仿宋" w:eastAsia="仿宋" w:cs="仿宋"/>
          <w:b/>
          <w:color w:val="auto"/>
          <w:sz w:val="24"/>
          <w:szCs w:val="24"/>
          <w:highlight w:val="none"/>
        </w:rPr>
        <w:br w:type="page" w:clear="all"/>
      </w:r>
      <w:r/>
    </w:p>
    <w:p>
      <w:pP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开标一览表</w:t>
      </w:r>
      <w:r/>
    </w:p>
    <w:p>
      <w:pPr>
        <w:ind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投标人全称（加盖CA电子签章）：</w:t>
      </w:r>
      <w:r/>
    </w:p>
    <w:p>
      <w:pPr>
        <w:ind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项目名称：</w:t>
      </w:r>
      <w:r/>
    </w:p>
    <w:p>
      <w:pPr>
        <w:ind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项目编号：   </w:t>
      </w:r>
      <w:r/>
    </w:p>
    <w:p>
      <w:pPr>
        <w:ind w:firstLine="482"/>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分包号：</w:t>
      </w:r>
      <w:r>
        <w:rPr>
          <w:rFonts w:ascii="仿宋" w:hAnsi="仿宋" w:eastAsia="仿宋" w:cs="仿宋"/>
          <w:color w:val="auto"/>
          <w:sz w:val="24"/>
          <w:szCs w:val="24"/>
          <w:highlight w:val="none"/>
        </w:rPr>
        <w:t xml:space="preserve">                               </w:t>
      </w:r>
      <w:r/>
    </w:p>
    <w:tbl>
      <w:tblPr>
        <w:tblStyle w:val="912"/>
        <w:tblW w:w="8886" w:type="dxa"/>
        <w:jc w:val="center"/>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725"/>
        </w:trPr>
        <w:tc>
          <w:tcPr>
            <w:gridSpan w:val="2"/>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投标总报价</w:t>
            </w:r>
            <w:r/>
          </w:p>
        </w:tc>
      </w:tr>
      <w:tr>
        <w:trPr>
          <w:cantSplit/>
          <w:jc w:val="center"/>
          <w:trHeight w:val="612"/>
        </w:trPr>
        <w:tc>
          <w:tcPr>
            <w:gridSpan w:val="2"/>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大写：</w:t>
            </w:r>
            <w:r/>
          </w:p>
          <w:p>
            <w:pPr>
              <w:jc w:val="left"/>
              <w:spacing w:line="500" w:lineRule="exac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小写：                             （人民币：元）</w:t>
            </w:r>
            <w:r/>
          </w:p>
        </w:tc>
      </w:tr>
      <w:tr>
        <w:trPr>
          <w:cantSplit/>
          <w:jc w:val="center"/>
          <w:trHeight w:val="612"/>
        </w:trPr>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核心产品品牌</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rPr>
          <w:rFonts w:ascii="仿宋" w:hAnsi="仿宋" w:eastAsia="仿宋" w:cs="仿宋"/>
          <w:color w:val="auto"/>
          <w:sz w:val="24"/>
          <w:szCs w:val="24"/>
          <w:highlight w:val="none"/>
        </w:rPr>
      </w:pPr>
      <w:r>
        <w:rPr>
          <w:color w:val="auto"/>
          <w:highlight w:val="none"/>
        </w:rPr>
        <w:br w:type="page" w:clear="all"/>
      </w:r>
      <w:r/>
    </w:p>
    <w:p>
      <w:pP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附件2 </w:t>
      </w:r>
      <w:r/>
    </w:p>
    <w:p>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投标分项报价表（分包号：***）</w:t>
      </w:r>
      <w:r/>
    </w:p>
    <w:tbl>
      <w:tblPr>
        <w:tblStyle w:val="912"/>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产品</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规格</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249"/>
        </w:trPr>
        <w:tc>
          <w:tcPr>
            <w:tcW w:w="500" w:type="dxa"/>
            <w:vAlign w:val="top"/>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gridSpan w:val="8"/>
            <w:tcW w:w="77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投标总报价（人民币：元）</w:t>
            </w:r>
            <w:r/>
          </w:p>
        </w:tc>
        <w:tc>
          <w:tcPr>
            <w:tcW w:w="966" w:type="dxa"/>
            <w:vAlign w:val="top"/>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249"/>
        </w:trPr>
        <w:tc>
          <w:tcPr>
            <w:gridSpan w:val="10"/>
            <w:tcW w:w="9263" w:type="dxa"/>
            <w:vAlign w:val="top"/>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tc>
      </w:tr>
    </w:tbl>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备注：</w:t>
      </w:r>
      <w:r/>
    </w:p>
    <w:p>
      <w:pPr>
        <w:spacing w:line="40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4"/>
          <w:highlight w:val="none"/>
        </w:rPr>
        <w:t xml:space="preserve">1.投标报价</w:t>
      </w:r>
      <w:r>
        <w:rPr>
          <w:rFonts w:hint="eastAsia" w:ascii="仿宋" w:hAnsi="仿宋" w:eastAsia="仿宋" w:cs="仿宋"/>
          <w:color w:val="auto"/>
          <w:sz w:val="24"/>
          <w:szCs w:val="21"/>
          <w:highlight w:val="none"/>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t xml:space="preserve">2.</w:t>
      </w:r>
      <w:r>
        <w:rPr>
          <w:rFonts w:hint="eastAsia" w:ascii="仿宋" w:hAnsi="仿宋" w:eastAsia="仿宋" w:cs="仿宋"/>
          <w:color w:val="auto"/>
          <w:szCs w:val="21"/>
          <w:highlight w:val="none"/>
        </w:rPr>
        <w:t xml:space="preserve">“</w:t>
      </w:r>
      <w:r>
        <w:rPr>
          <w:rFonts w:hint="eastAsia" w:ascii="仿宋" w:hAnsi="仿宋" w:eastAsia="仿宋" w:cs="仿宋"/>
          <w:color w:val="auto"/>
          <w:sz w:val="24"/>
          <w:szCs w:val="21"/>
          <w:highlight w:val="none"/>
        </w:rPr>
        <w:t xml:space="preserve">投标分项报价表</w:t>
      </w:r>
      <w:r>
        <w:rPr>
          <w:rFonts w:hint="eastAsia" w:ascii="仿宋" w:hAnsi="仿宋" w:eastAsia="仿宋" w:cs="仿宋"/>
          <w:color w:val="auto"/>
          <w:szCs w:val="21"/>
          <w:highlight w:val="none"/>
        </w:rPr>
        <w:t xml:space="preserve">”</w:t>
      </w:r>
      <w:r>
        <w:rPr>
          <w:rFonts w:hint="eastAsia" w:ascii="仿宋" w:hAnsi="仿宋" w:eastAsia="仿宋" w:cs="仿宋"/>
          <w:color w:val="auto"/>
          <w:sz w:val="24"/>
          <w:szCs w:val="21"/>
          <w:highlight w:val="none"/>
        </w:rPr>
        <w:t xml:space="preserve">中“投标总报价”数额应当与“开标一览表”中“投标总报价”数额一致。</w:t>
      </w:r>
      <w:r/>
    </w:p>
    <w:p>
      <w:pPr>
        <w:spacing w:line="400" w:lineRule="exact"/>
        <w:rPr>
          <w:rFonts w:hint="default" w:ascii="仿宋" w:hAnsi="仿宋" w:eastAsia="仿宋" w:cs="仿宋"/>
          <w:color w:val="auto"/>
          <w:sz w:val="24"/>
          <w:szCs w:val="21"/>
          <w:highlight w:val="none"/>
          <w:lang w:val="en-US" w:eastAsia="zh-CN"/>
        </w:rPr>
        <w:outlineLvl w:val="9"/>
      </w:pP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.投标人需认真填写本报价表，尤其注意规格型号的准确填写</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否则视为无效投标。</w:t>
      </w:r>
      <w:r/>
    </w:p>
    <w:p>
      <w:pPr>
        <w:spacing w:line="400" w:lineRule="exact"/>
        <w:rPr>
          <w:rFonts w:ascii="仿宋" w:hAnsi="仿宋" w:eastAsia="仿宋" w:cs="仿宋"/>
          <w:color w:val="auto"/>
          <w:sz w:val="24"/>
          <w:szCs w:val="21"/>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color w:val="auto"/>
          <w:sz w:val="24"/>
          <w:szCs w:val="21"/>
          <w:highlight w:val="none"/>
        </w:rPr>
        <w:t xml:space="preserve">。</w:t>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480"/>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rPr>
          <w:rFonts w:ascii="仿宋" w:hAnsi="仿宋" w:eastAsia="仿宋" w:cs="仿宋"/>
          <w:b/>
          <w:color w:val="auto"/>
          <w:sz w:val="24"/>
          <w:szCs w:val="24"/>
          <w:highlight w:val="none"/>
        </w:rPr>
      </w:pPr>
      <w:r>
        <w:rPr>
          <w:color w:val="auto"/>
          <w:highlight w:val="none"/>
        </w:rPr>
        <w:br w:type="page" w:clear="all"/>
      </w:r>
      <w:r/>
    </w:p>
    <w:p>
      <w:pPr>
        <w:jc w:val="lef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附件3</w:t>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t xml:space="preserve">投标人符合《中华人民共和国政府采购法》第二十二条规定条件的声明函</w:t>
      </w:r>
      <w:r/>
    </w:p>
    <w:p>
      <w:pPr>
        <w:spacing w:line="460" w:lineRule="exact"/>
        <w:rPr>
          <w:rFonts w:ascii="仿宋" w:hAnsi="仿宋" w:eastAsia="仿宋" w:cs="仿宋"/>
          <w:b/>
          <w:bCs/>
          <w:color w:val="auto"/>
          <w:sz w:val="44"/>
          <w:szCs w:val="44"/>
          <w:highlight w:val="none"/>
        </w:rPr>
      </w:pPr>
      <w:r>
        <w:rPr>
          <w:rFonts w:ascii="仿宋" w:hAnsi="仿宋" w:eastAsia="仿宋" w:cs="仿宋"/>
          <w:b/>
          <w:bCs/>
          <w:color w:val="auto"/>
          <w:sz w:val="24"/>
          <w:szCs w:val="21"/>
          <w:highlight w:val="none"/>
        </w:rPr>
        <w:t xml:space="preserve">                       </w:t>
      </w:r>
      <w:r>
        <w:rPr>
          <w:rFonts w:ascii="仿宋" w:hAnsi="仿宋" w:eastAsia="仿宋" w:cs="仿宋"/>
          <w:b/>
          <w:bCs/>
          <w:color w:val="auto"/>
          <w:sz w:val="44"/>
          <w:szCs w:val="44"/>
          <w:highlight w:val="none"/>
        </w:rPr>
        <w:t xml:space="preserve">   </w:t>
      </w:r>
      <w:r/>
    </w:p>
    <w:p>
      <w:pPr>
        <w:ind w:firstLine="480"/>
        <w:spacing w:line="520" w:lineRule="exact"/>
        <w:rPr>
          <w:rFonts w:ascii="仿宋" w:hAnsi="仿宋" w:eastAsia="仿宋" w:cs="仿宋"/>
          <w:b/>
          <w:bCs/>
          <w:color w:val="auto"/>
          <w:sz w:val="24"/>
          <w:highlight w:val="none"/>
        </w:rPr>
      </w:pPr>
      <w:r>
        <w:rPr>
          <w:rFonts w:ascii="仿宋" w:hAnsi="仿宋" w:eastAsia="仿宋" w:cs="仿宋"/>
          <w:bCs/>
          <w:color w:val="auto"/>
          <w:sz w:val="24"/>
          <w:highlight w:val="none"/>
        </w:rPr>
        <w:t xml:space="preserve">我单位参加</w:t>
      </w:r>
      <w:r>
        <w:rPr>
          <w:rFonts w:ascii="仿宋" w:hAnsi="仿宋" w:eastAsia="仿宋" w:cs="仿宋"/>
          <w:bCs/>
          <w:color w:val="auto"/>
          <w:sz w:val="24"/>
          <w:szCs w:val="21"/>
          <w:highlight w:val="none"/>
          <w:u w:val="single"/>
        </w:rPr>
        <w:t xml:space="preserve">________________</w:t>
      </w:r>
      <w:r>
        <w:rPr>
          <w:rFonts w:ascii="仿宋" w:hAnsi="仿宋" w:eastAsia="仿宋" w:cs="仿宋"/>
          <w:bCs/>
          <w:color w:val="auto"/>
          <w:sz w:val="24"/>
          <w:szCs w:val="21"/>
          <w:highlight w:val="none"/>
        </w:rPr>
        <w:t xml:space="preserve">（项目名称），</w:t>
      </w:r>
      <w:r>
        <w:rPr>
          <w:rFonts w:ascii="仿宋" w:hAnsi="仿宋" w:eastAsia="仿宋" w:cs="仿宋"/>
          <w:bCs/>
          <w:color w:val="auto"/>
          <w:sz w:val="24"/>
          <w:szCs w:val="21"/>
          <w:highlight w:val="none"/>
          <w:u w:val="single"/>
        </w:rPr>
        <w:t xml:space="preserve">_________</w:t>
      </w:r>
      <w:r>
        <w:rPr>
          <w:rFonts w:ascii="仿宋" w:hAnsi="仿宋" w:eastAsia="仿宋" w:cs="仿宋"/>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ascii="仿宋" w:hAnsi="仿宋" w:eastAsia="仿宋" w:cs="仿宋"/>
          <w:color w:val="auto"/>
          <w:sz w:val="24"/>
          <w:highlight w:val="none"/>
        </w:rPr>
      </w:pPr>
      <w:r>
        <w:rPr>
          <w:rFonts w:ascii="仿宋" w:hAnsi="仿宋" w:eastAsia="仿宋" w:cs="仿宋"/>
          <w:bCs/>
          <w:color w:val="auto"/>
          <w:sz w:val="24"/>
          <w:szCs w:val="21"/>
          <w:highlight w:val="none"/>
        </w:rPr>
        <w:t xml:space="preserve">1.我单位具有独立承担民事责任的能力；</w:t>
      </w:r>
      <w:r/>
    </w:p>
    <w:p>
      <w:pPr>
        <w:ind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2.我单位具有良好的商业信誉和健全的财务会计制度；</w:t>
      </w:r>
      <w:r/>
    </w:p>
    <w:p>
      <w:pPr>
        <w:ind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3.我单位具有履行合同所必需的设备和专业技术能力；</w:t>
      </w:r>
      <w:r/>
    </w:p>
    <w:p>
      <w:pPr>
        <w:ind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4.我单位有依法缴纳税收和社会保障资金的良好记录；</w:t>
      </w:r>
      <w:r/>
    </w:p>
    <w:p>
      <w:pPr>
        <w:ind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6.我单位满足法律、行政法规规定的其他条件。</w:t>
      </w:r>
      <w:r/>
    </w:p>
    <w:p>
      <w:pPr>
        <w:ind w:firstLine="482"/>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jc w:val="center"/>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承诺人名称（加盖CA电子公章）：</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日期：</w:t>
      </w:r>
      <w:r>
        <w:rPr>
          <w:rFonts w:ascii="仿宋" w:hAnsi="仿宋" w:eastAsia="仿宋" w:cs="仿宋"/>
          <w:bCs/>
          <w:color w:val="auto"/>
          <w:sz w:val="24"/>
          <w:szCs w:val="21"/>
          <w:highlight w:val="none"/>
          <w:u w:val="single"/>
        </w:rPr>
        <w:t xml:space="preserve">      </w:t>
      </w:r>
      <w:r>
        <w:rPr>
          <w:rFonts w:ascii="仿宋" w:hAnsi="仿宋" w:eastAsia="仿宋" w:cs="仿宋"/>
          <w:bCs/>
          <w:color w:val="auto"/>
          <w:sz w:val="24"/>
          <w:szCs w:val="21"/>
          <w:highlight w:val="none"/>
        </w:rPr>
        <w:t xml:space="preserve">年</w:t>
      </w:r>
      <w:r>
        <w:rPr>
          <w:rFonts w:ascii="仿宋" w:hAnsi="仿宋" w:eastAsia="仿宋" w:cs="仿宋"/>
          <w:bCs/>
          <w:color w:val="auto"/>
          <w:sz w:val="24"/>
          <w:szCs w:val="21"/>
          <w:highlight w:val="none"/>
          <w:u w:val="single"/>
        </w:rPr>
        <w:t xml:space="preserve">    </w:t>
      </w:r>
      <w:r>
        <w:rPr>
          <w:rFonts w:ascii="仿宋" w:hAnsi="仿宋" w:eastAsia="仿宋" w:cs="仿宋"/>
          <w:bCs/>
          <w:color w:val="auto"/>
          <w:sz w:val="24"/>
          <w:szCs w:val="21"/>
          <w:highlight w:val="none"/>
        </w:rPr>
        <w:t xml:space="preserve">月</w:t>
      </w:r>
      <w:r>
        <w:rPr>
          <w:rFonts w:ascii="仿宋" w:hAnsi="仿宋" w:eastAsia="仿宋" w:cs="仿宋"/>
          <w:bCs/>
          <w:color w:val="auto"/>
          <w:sz w:val="24"/>
          <w:szCs w:val="21"/>
          <w:highlight w:val="none"/>
          <w:u w:val="single"/>
        </w:rPr>
        <w:t xml:space="preserve">    </w:t>
      </w:r>
      <w:r>
        <w:rPr>
          <w:rFonts w:ascii="仿宋" w:hAnsi="仿宋" w:eastAsia="仿宋" w:cs="仿宋"/>
          <w:bCs/>
          <w:color w:val="auto"/>
          <w:sz w:val="24"/>
          <w:szCs w:val="21"/>
          <w:highlight w:val="none"/>
        </w:rPr>
        <w:t xml:space="preserve">日</w:t>
      </w:r>
      <w:r>
        <w:rPr>
          <w:color w:val="auto"/>
          <w:highlight w:val="none"/>
        </w:rPr>
        <w:br w:type="page" w:clear="all"/>
      </w:r>
      <w:r/>
    </w:p>
    <w:p>
      <w:pPr>
        <w:spacing w:line="5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附件4            </w:t>
      </w:r>
      <w:r/>
    </w:p>
    <w:p>
      <w:pPr>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法定代表人身份证明</w:t>
      </w:r>
      <w:r/>
    </w:p>
    <w:p>
      <w:pPr>
        <w:spacing w:line="48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0"/>
        <w:spacing w:line="4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先生/女士： 现任我单位</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职务，为法定代表人，特此证明。</w:t>
      </w:r>
      <w:r/>
    </w:p>
    <w:p>
      <w:pPr>
        <w:ind w:firstLine="480"/>
        <w:spacing w:line="48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身份证号码：</w:t>
      </w:r>
      <w:r>
        <w:rPr>
          <w:rFonts w:ascii="仿宋" w:hAnsi="仿宋" w:eastAsia="仿宋" w:cs="仿宋"/>
          <w:color w:val="auto"/>
          <w:sz w:val="24"/>
          <w:szCs w:val="24"/>
          <w:highlight w:val="none"/>
          <w:u w:val="single"/>
        </w:rPr>
        <w:t xml:space="preserve">                                               </w:t>
      </w:r>
      <w:r/>
    </w:p>
    <w:p>
      <w:pPr>
        <w:ind w:firstLine="480"/>
        <w:spacing w:line="48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spacing w:line="4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注：提供法定代表人的身份证扫描件</w:t>
      </w:r>
      <w:r>
        <w:rPr>
          <w:rFonts w:ascii="仿宋" w:hAnsi="仿宋" w:eastAsia="仿宋" w:cs="仿宋"/>
          <w:bCs/>
          <w:color w:val="auto"/>
          <w:sz w:val="24"/>
          <w:szCs w:val="21"/>
          <w:highlight w:val="none"/>
        </w:rPr>
        <w:t xml:space="preserve">（加盖CA电子公章）</w:t>
      </w:r>
      <w:r>
        <w:rPr>
          <w:color w:val="auto"/>
          <w:highlight w:val="none"/>
        </w:rPr>
        <w:br w:type="page" w:clear="all"/>
      </w:r>
      <w:r/>
    </w:p>
    <w:p>
      <w:pPr>
        <w:spacing w:line="4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附件5            </w:t>
      </w:r>
      <w:r/>
    </w:p>
    <w:p>
      <w:pPr>
        <w:jc w:val="center"/>
        <w:spacing w:line="460" w:lineRule="exact"/>
        <w:rPr>
          <w:rFonts w:ascii="仿宋" w:hAnsi="仿宋" w:eastAsia="仿宋" w:cs="仿宋"/>
          <w:bCs/>
          <w:color w:val="auto"/>
          <w:sz w:val="24"/>
          <w:szCs w:val="21"/>
          <w:highlight w:val="none"/>
        </w:rPr>
      </w:pPr>
      <w:r>
        <w:rPr>
          <w:rFonts w:ascii="仿宋" w:hAnsi="仿宋" w:eastAsia="仿宋" w:cs="仿宋"/>
          <w:b/>
          <w:color w:val="auto"/>
          <w:sz w:val="24"/>
          <w:szCs w:val="21"/>
          <w:highlight w:val="none"/>
        </w:rPr>
        <w:t xml:space="preserve">法人授权书</w:t>
      </w:r>
      <w:r/>
    </w:p>
    <w:p>
      <w:pPr>
        <w:ind w:firstLine="480"/>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本授权书声明：</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（投标人名称）授权</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（被授权人的姓名）为我方就</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本授权书于______年____月____日起生效，特此声明。</w:t>
      </w:r>
      <w:r/>
    </w:p>
    <w:p>
      <w:pPr>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被授权人身份证号码：</w:t>
      </w:r>
      <w:r>
        <w:rPr>
          <w:rFonts w:ascii="仿宋" w:hAnsi="仿宋" w:eastAsia="仿宋" w:cs="仿宋"/>
          <w:color w:val="auto"/>
          <w:sz w:val="24"/>
          <w:szCs w:val="24"/>
          <w:highlight w:val="none"/>
          <w:u w:val="single"/>
        </w:rPr>
        <w:t xml:space="preserve">                              </w:t>
      </w:r>
      <w:r/>
    </w:p>
    <w:p>
      <w:pPr>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被授权人联系电话：（手机）</w:t>
      </w:r>
      <w:r>
        <w:rPr>
          <w:rFonts w:ascii="仿宋" w:hAnsi="仿宋" w:eastAsia="仿宋" w:cs="仿宋"/>
          <w:color w:val="auto"/>
          <w:sz w:val="24"/>
          <w:szCs w:val="24"/>
          <w:highlight w:val="none"/>
          <w:u w:val="single"/>
        </w:rPr>
        <w:t xml:space="preserve">                          </w:t>
      </w:r>
      <w:r/>
    </w:p>
    <w:p>
      <w:pPr>
        <w:ind w:firstLine="480"/>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授权单位名称：</w:t>
      </w:r>
      <w:r>
        <w:rPr>
          <w:rFonts w:ascii="仿宋" w:hAnsi="仿宋" w:eastAsia="仿宋" w:cs="仿宋"/>
          <w:color w:val="auto"/>
          <w:sz w:val="24"/>
          <w:szCs w:val="24"/>
          <w:highlight w:val="none"/>
          <w:u w:val="single"/>
        </w:rPr>
        <w:t xml:space="preserve">（加盖CA电子公章）</w:t>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单位地址：</w:t>
      </w:r>
      <w:r>
        <w:rPr>
          <w:rFonts w:ascii="仿宋" w:hAnsi="仿宋" w:eastAsia="仿宋" w:cs="仿宋"/>
          <w:color w:val="auto"/>
          <w:sz w:val="24"/>
          <w:szCs w:val="24"/>
          <w:highlight w:val="none"/>
          <w:u w:val="single"/>
        </w:rPr>
        <w:t xml:space="preserve">                                         </w:t>
      </w:r>
      <w:r/>
    </w:p>
    <w:p>
      <w:pPr>
        <w:ind w:firstLine="480"/>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日期：</w:t>
      </w:r>
      <w:bookmarkStart w:id="7" w:name="_格式3__银行出具的资信证明"/>
      <w:r/>
      <w:bookmarkEnd w:id="7"/>
      <w:r>
        <w:rPr>
          <w:rFonts w:ascii="仿宋" w:hAnsi="仿宋" w:eastAsia="仿宋" w:cs="仿宋"/>
          <w:color w:val="auto"/>
          <w:sz w:val="24"/>
          <w:szCs w:val="24"/>
          <w:highlight w:val="none"/>
          <w:u w:val="single"/>
        </w:rPr>
        <w:t xml:space="preserve">                                         </w:t>
      </w:r>
      <w:r/>
    </w:p>
    <w:p>
      <w:pPr>
        <w:keepLines/>
        <w:keepNext/>
        <w:spacing w:before="260" w:after="260" w:line="415" w:lineRule="auto"/>
        <w:rPr>
          <w:rFonts w:ascii="仿宋" w:hAnsi="仿宋" w:eastAsia="仿宋" w:cs="仿宋"/>
          <w:b/>
          <w:color w:val="auto"/>
          <w:sz w:val="24"/>
          <w:szCs w:val="44"/>
          <w:highlight w:val="none"/>
        </w:rPr>
      </w:pPr>
      <w:r>
        <w:rPr>
          <w:rFonts w:ascii="仿宋" w:hAnsi="仿宋" w:eastAsia="仿宋" w:cs="仿宋"/>
          <w:b/>
          <w:color w:val="auto"/>
          <w:sz w:val="24"/>
          <w:szCs w:val="44"/>
          <w:highlight w:val="none"/>
        </w:rPr>
      </w:r>
      <w:r/>
    </w:p>
    <w:p>
      <w:pPr>
        <w:keepLines/>
        <w:keepNext/>
        <w:spacing w:before="260" w:after="260" w:line="415" w:lineRule="auto"/>
        <w:rPr>
          <w:rFonts w:ascii="仿宋" w:hAnsi="仿宋" w:eastAsia="仿宋" w:cs="仿宋"/>
          <w:bCs/>
          <w:color w:val="auto"/>
          <w:sz w:val="24"/>
          <w:szCs w:val="44"/>
          <w:highlight w:val="none"/>
        </w:rPr>
      </w:pPr>
      <w:r>
        <w:rPr>
          <w:rFonts w:ascii="仿宋" w:hAnsi="仿宋" w:eastAsia="仿宋" w:cs="仿宋"/>
          <w:bCs/>
          <w:color w:val="auto"/>
          <w:sz w:val="24"/>
          <w:szCs w:val="44"/>
          <w:highlight w:val="none"/>
        </w:rPr>
        <w:t xml:space="preserve">注：提供被授权人身份证扫描件（加盖CA电子公章）</w:t>
      </w:r>
      <w:r>
        <w:rPr>
          <w:color w:val="auto"/>
          <w:highlight w:val="none"/>
        </w:rPr>
        <w:br w:type="page" w:clear="all"/>
      </w:r>
      <w:r/>
    </w:p>
    <w:p>
      <w:pPr>
        <w:keepLines/>
        <w:keepNext/>
        <w:spacing w:before="260" w:after="260" w:line="415" w:lineRule="auto"/>
        <w:rPr>
          <w:rFonts w:ascii="仿宋" w:hAnsi="仿宋" w:eastAsia="仿宋" w:cs="仿宋"/>
          <w:b/>
          <w:i/>
          <w:color w:val="auto"/>
          <w:sz w:val="32"/>
          <w:szCs w:val="32"/>
          <w:highlight w:val="none"/>
          <w:u w:val="single"/>
        </w:rPr>
      </w:pPr>
      <w:r>
        <w:rPr>
          <w:rFonts w:ascii="仿宋" w:hAnsi="仿宋" w:eastAsia="仿宋" w:cs="仿宋"/>
          <w:b/>
          <w:color w:val="auto"/>
          <w:sz w:val="24"/>
          <w:szCs w:val="21"/>
          <w:highlight w:val="none"/>
        </w:rPr>
        <w:t xml:space="preserve">附件6                             投标函</w:t>
      </w:r>
      <w:r/>
    </w:p>
    <w:p>
      <w:pPr>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致：</w:t>
      </w:r>
      <w:r>
        <w:rPr>
          <w:rFonts w:hint="eastAsia" w:ascii="仿宋" w:hAnsi="仿宋" w:eastAsia="仿宋" w:cs="仿宋"/>
          <w:color w:val="auto"/>
          <w:sz w:val="24"/>
          <w:szCs w:val="21"/>
          <w:highlight w:val="none"/>
        </w:rPr>
        <w:t xml:space="preserve">如东县教育体育局</w:t>
      </w:r>
      <w:r/>
    </w:p>
    <w:p>
      <w:pPr>
        <w:ind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根据贵方的</w:t>
      </w:r>
      <w:r>
        <w:rPr>
          <w:rFonts w:ascii="仿宋" w:hAnsi="仿宋" w:eastAsia="仿宋" w:cs="仿宋"/>
          <w:color w:val="auto"/>
          <w:sz w:val="24"/>
          <w:szCs w:val="21"/>
          <w:highlight w:val="none"/>
          <w:u w:val="single"/>
        </w:rPr>
        <w:t xml:space="preserve">         </w:t>
      </w:r>
      <w:r>
        <w:rPr>
          <w:rFonts w:ascii="仿宋" w:hAnsi="仿宋" w:eastAsia="仿宋" w:cs="仿宋"/>
          <w:color w:val="auto"/>
          <w:sz w:val="24"/>
          <w:szCs w:val="21"/>
          <w:highlight w:val="none"/>
        </w:rPr>
        <w:t xml:space="preserve">号招标文件，正式授权下述被授权人_____(姓名)代表我方_______（投标人的名称），全权处理本次项目投标的有关事宜。</w:t>
      </w:r>
      <w:r/>
    </w:p>
    <w:p>
      <w:pPr>
        <w:ind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据此函，被授权人_____(姓名)兹宣布同意如下：</w:t>
      </w:r>
      <w:r/>
    </w:p>
    <w:p>
      <w:pPr>
        <w:ind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2.我们完全理解贵方不一定将合同授予最低报价的投标人。</w:t>
      </w:r>
      <w:r/>
    </w:p>
    <w:p>
      <w:pPr>
        <w:ind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7.与本投标有关的正式通讯地址为：</w:t>
      </w:r>
      <w:r/>
    </w:p>
    <w:p>
      <w:pPr>
        <w:ind w:left="42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地          址：</w:t>
      </w:r>
      <w:r>
        <w:rPr>
          <w:rFonts w:ascii="仿宋" w:hAnsi="仿宋" w:eastAsia="仿宋" w:cs="仿宋"/>
          <w:color w:val="auto"/>
          <w:sz w:val="24"/>
          <w:szCs w:val="21"/>
          <w:highlight w:val="none"/>
          <w:u w:val="single"/>
        </w:rPr>
        <w:t xml:space="preserve">                         </w:t>
      </w:r>
      <w:r/>
    </w:p>
    <w:p>
      <w:pPr>
        <w:ind w:left="42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邮          编：</w:t>
      </w:r>
      <w:r>
        <w:rPr>
          <w:rFonts w:ascii="仿宋" w:hAnsi="仿宋" w:eastAsia="仿宋" w:cs="仿宋"/>
          <w:color w:val="auto"/>
          <w:sz w:val="24"/>
          <w:szCs w:val="21"/>
          <w:highlight w:val="none"/>
          <w:u w:val="single"/>
        </w:rPr>
        <w:t xml:space="preserve">                         </w:t>
      </w:r>
      <w:r/>
    </w:p>
    <w:p>
      <w:pPr>
        <w:ind w:left="42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电          话：</w:t>
      </w:r>
      <w:r>
        <w:rPr>
          <w:rFonts w:ascii="仿宋" w:hAnsi="仿宋" w:eastAsia="仿宋" w:cs="仿宋"/>
          <w:color w:val="auto"/>
          <w:sz w:val="24"/>
          <w:szCs w:val="21"/>
          <w:highlight w:val="none"/>
          <w:u w:val="single"/>
        </w:rPr>
        <w:t xml:space="preserve">                         </w:t>
      </w:r>
      <w:r/>
    </w:p>
    <w:p>
      <w:pPr>
        <w:ind w:left="42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传          真：</w:t>
      </w:r>
      <w:r>
        <w:rPr>
          <w:rFonts w:ascii="仿宋" w:hAnsi="仿宋" w:eastAsia="仿宋" w:cs="仿宋"/>
          <w:color w:val="auto"/>
          <w:sz w:val="24"/>
          <w:szCs w:val="21"/>
          <w:highlight w:val="none"/>
          <w:u w:val="single"/>
        </w:rPr>
        <w:t xml:space="preserve">                         </w:t>
      </w:r>
      <w:r/>
    </w:p>
    <w:p>
      <w:pPr>
        <w:ind w:left="42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投标人开户行：</w:t>
      </w:r>
      <w:r>
        <w:rPr>
          <w:rFonts w:ascii="仿宋" w:hAnsi="仿宋" w:eastAsia="仿宋" w:cs="仿宋"/>
          <w:color w:val="auto"/>
          <w:sz w:val="24"/>
          <w:szCs w:val="21"/>
          <w:highlight w:val="none"/>
          <w:u w:val="single"/>
        </w:rPr>
        <w:t xml:space="preserve">                           </w:t>
      </w:r>
      <w:r/>
    </w:p>
    <w:p>
      <w:pPr>
        <w:ind w:left="42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账          号：</w:t>
      </w:r>
      <w:r>
        <w:rPr>
          <w:rFonts w:ascii="仿宋" w:hAnsi="仿宋" w:eastAsia="仿宋" w:cs="仿宋"/>
          <w:color w:val="auto"/>
          <w:sz w:val="24"/>
          <w:szCs w:val="21"/>
          <w:highlight w:val="none"/>
          <w:u w:val="single"/>
        </w:rPr>
        <w:t xml:space="preserve">                         </w:t>
      </w:r>
      <w:r>
        <w:rPr>
          <w:rFonts w:ascii="仿宋" w:hAnsi="仿宋" w:eastAsia="仿宋" w:cs="仿宋"/>
          <w:color w:val="auto"/>
          <w:sz w:val="24"/>
          <w:szCs w:val="21"/>
          <w:highlight w:val="none"/>
        </w:rPr>
        <w:t xml:space="preserve"> </w:t>
      </w:r>
      <w:r/>
    </w:p>
    <w:p>
      <w:pPr>
        <w:ind w:left="42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日           期：_____年____月____日</w:t>
      </w:r>
      <w:r/>
    </w:p>
    <w:p>
      <w:pPr>
        <w:ind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firstLine="241"/>
        <w:jc w:val="center"/>
        <w:spacing w:line="560" w:lineRule="exact"/>
        <w:rPr>
          <w:rFonts w:ascii="仿宋" w:hAnsi="仿宋" w:eastAsia="仿宋" w:cs="仿宋"/>
          <w:b/>
          <w:bCs/>
          <w:color w:val="auto"/>
          <w:sz w:val="24"/>
          <w:szCs w:val="21"/>
          <w:highlight w:val="none"/>
        </w:rPr>
      </w:pPr>
      <w:r>
        <w:rPr>
          <w:color w:val="auto"/>
          <w:highlight w:val="none"/>
        </w:rPr>
        <w:br w:type="page" w:clear="all"/>
      </w:r>
      <w:r/>
    </w:p>
    <w:p>
      <w:pPr>
        <w:ind w:firstLine="241"/>
        <w:spacing w:line="5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附件7  </w:t>
      </w:r>
      <w:r/>
    </w:p>
    <w:p>
      <w:pPr>
        <w:jc w:val="center"/>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中小企业声明函（货物）</w:t>
      </w:r>
      <w:r>
        <w:rPr>
          <w:rFonts w:hint="eastAsia" w:ascii="仿宋" w:hAnsi="仿宋" w:eastAsia="仿宋" w:cs="仿宋"/>
          <w:b/>
          <w:color w:val="auto"/>
          <w:sz w:val="24"/>
          <w:szCs w:val="21"/>
          <w:highlight w:val="none"/>
        </w:rPr>
        <w:t xml:space="preserve">（分包号：**）</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本公司（联合体）郑重声明，根据《政府采购促进中小企业发展管理办法》（财库〔2020〕46 号）的规定，本公司（联合体）参加</w:t>
      </w:r>
      <w:r>
        <w:rPr>
          <w:rFonts w:ascii="仿宋" w:hAnsi="仿宋" w:eastAsia="仿宋" w:cs="仿宋"/>
          <w:color w:val="auto"/>
          <w:sz w:val="24"/>
          <w:szCs w:val="24"/>
          <w:highlight w:val="none"/>
          <w:u w:val="single"/>
        </w:rPr>
        <w:t xml:space="preserve">（单位名称）</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（项目名称）</w:t>
      </w:r>
      <w:r>
        <w:rPr>
          <w:rFonts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（采购文件中明确的所属行业） </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2.</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（采购文件中明确的所属行业）</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本企业对上述声明内容的真实性负责。如有虚假，将依法承担相应责任。</w:t>
      </w:r>
      <w:r/>
    </w:p>
    <w:p>
      <w:pPr>
        <w:ind w:right="72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180" w:firstLine="360"/>
        <w:jc w:val="right"/>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供应商全称（加盖CA电子公章）：</w:t>
      </w:r>
      <w:r/>
    </w:p>
    <w:p>
      <w:pPr>
        <w:ind w:right="480" w:firstLine="564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  期：</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1、如项目类型为“货物”，请按照此格式填写。</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2、从业人员、营业收入、资产总额填报上一年度数据，无上一年度数据的新成立企业可不填报。</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4、投标人</w:t>
      </w:r>
      <w:r>
        <w:rPr>
          <w:rFonts w:ascii="仿宋" w:hAnsi="仿宋" w:eastAsia="仿宋" w:cs="仿宋"/>
          <w:b/>
          <w:bCs/>
          <w:color w:val="auto"/>
          <w:sz w:val="24"/>
          <w:szCs w:val="24"/>
          <w:highlight w:val="none"/>
        </w:rPr>
        <w:t xml:space="preserve">自行勾选</w:t>
      </w:r>
      <w:r>
        <w:rPr>
          <w:rFonts w:ascii="仿宋" w:hAnsi="仿宋" w:eastAsia="仿宋" w:cs="仿宋"/>
          <w:color w:val="auto"/>
          <w:sz w:val="24"/>
          <w:szCs w:val="24"/>
          <w:highlight w:val="none"/>
        </w:rPr>
        <w:t xml:space="preserve">制造商的企业规模类型。</w:t>
      </w:r>
      <w:r/>
    </w:p>
    <w:p>
      <w:pPr>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left="540" w:hanging="120"/>
        <w:spacing w:line="400" w:lineRule="exact"/>
        <w:rPr>
          <w:rFonts w:ascii="仿宋" w:hAnsi="仿宋" w:eastAsia="仿宋" w:cs="仿宋"/>
          <w:b/>
          <w:color w:val="auto"/>
          <w:sz w:val="32"/>
          <w:szCs w:val="32"/>
          <w:highlight w:val="none"/>
        </w:rPr>
      </w:pPr>
      <w:r>
        <w:rPr>
          <w:rFonts w:ascii="仿宋" w:hAnsi="仿宋" w:eastAsia="仿宋" w:cs="仿宋"/>
          <w:color w:val="auto"/>
          <w:sz w:val="24"/>
          <w:szCs w:val="24"/>
          <w:highlight w:val="none"/>
        </w:rPr>
        <w:t xml:space="preserve">                                        </w:t>
      </w:r>
      <w:r>
        <w:rPr>
          <w:color w:val="auto"/>
          <w:highlight w:val="none"/>
        </w:rPr>
        <w:br w:type="page" w:clear="all"/>
      </w:r>
      <w:r/>
    </w:p>
    <w:p>
      <w:pPr>
        <w:ind w:left="540"/>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附件8  </w:t>
      </w:r>
      <w:r/>
    </w:p>
    <w:p>
      <w:pPr>
        <w:ind w:left="540" w:hanging="120"/>
        <w:jc w:val="center"/>
        <w:spacing w:line="400" w:lineRule="exact"/>
        <w:rPr>
          <w:rFonts w:ascii="仿宋" w:hAnsi="仿宋" w:eastAsia="仿宋" w:cs="仿宋"/>
          <w:color w:val="auto"/>
          <w:sz w:val="24"/>
          <w:szCs w:val="21"/>
          <w:highlight w:val="none"/>
        </w:rPr>
      </w:pPr>
      <w:r>
        <w:rPr>
          <w:rFonts w:ascii="仿宋" w:hAnsi="仿宋" w:eastAsia="仿宋" w:cs="仿宋"/>
          <w:b/>
          <w:color w:val="auto"/>
          <w:sz w:val="24"/>
          <w:szCs w:val="24"/>
          <w:highlight w:val="none"/>
        </w:rPr>
        <w:t xml:space="preserve">残疾人福利性单位声明函（货物）</w:t>
      </w:r>
      <w:r>
        <w:rPr>
          <w:rFonts w:hint="eastAsia" w:ascii="仿宋" w:hAnsi="仿宋" w:eastAsia="仿宋" w:cs="仿宋"/>
          <w:b/>
          <w:color w:val="auto"/>
          <w:sz w:val="24"/>
          <w:szCs w:val="21"/>
          <w:highlight w:val="none"/>
        </w:rPr>
        <w:t xml:space="preserve">（分包号：**）</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 项目采购活动提供本单位制造的货物，或者提供其他残疾人福利性单位制造的货物（不包括使用非残疾人福利性单位注册商标的货物）。</w:t>
      </w:r>
      <w:r/>
    </w:p>
    <w:p>
      <w:pPr>
        <w:ind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本单位对上述声明的真实性负责。如有虚假，将依法承担相应责任。</w:t>
      </w:r>
      <w:r/>
    </w:p>
    <w:p>
      <w:pPr>
        <w:ind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1、如项目类型为“货物”，请按照此格式填写。</w:t>
      </w:r>
      <w:r/>
    </w:p>
    <w:p>
      <w:pPr>
        <w:ind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2、</w:t>
      </w:r>
      <w:r>
        <w:rPr>
          <w:rFonts w:ascii="仿宋" w:hAnsi="仿宋" w:eastAsia="仿宋" w:cs="仿宋"/>
          <w:color w:val="auto"/>
          <w:sz w:val="24"/>
          <w:szCs w:val="21"/>
          <w:highlight w:val="none"/>
        </w:rPr>
        <w:t xml:space="preserve">专门面向中小微型企业采购的项目，投标人为残疾人福利性单位并提供本单位制造的货物，或者提供其他残疾人福利性单位制造的货物，必须提供此声明函，否则将不能通过资格审查。</w:t>
      </w:r>
      <w:r/>
    </w:p>
    <w:p>
      <w:pPr>
        <w:ind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3、</w:t>
      </w:r>
      <w:r>
        <w:rPr>
          <w:rFonts w:ascii="仿宋" w:hAnsi="仿宋" w:eastAsia="仿宋" w:cs="仿宋"/>
          <w:color w:val="auto"/>
          <w:sz w:val="24"/>
          <w:szCs w:val="21"/>
          <w:highlight w:val="none"/>
        </w:rPr>
        <w:t xml:space="preserve">非专门面向中小微型企业采购的项目，投标人如不提供此声明函，价格将不做相应扣除。</w:t>
      </w:r>
      <w:r/>
    </w:p>
    <w:p>
      <w:pPr>
        <w:ind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4、</w:t>
      </w:r>
      <w:r>
        <w:rPr>
          <w:rFonts w:ascii="仿宋" w:hAnsi="仿宋" w:eastAsia="仿宋" w:cs="仿宋"/>
          <w:color w:val="auto"/>
          <w:sz w:val="24"/>
          <w:highlight w:val="none"/>
        </w:rPr>
        <w:t xml:space="preserve">中标人</w:t>
      </w:r>
      <w:r>
        <w:rPr>
          <w:rFonts w:ascii="仿宋" w:hAnsi="仿宋" w:eastAsia="仿宋" w:cs="仿宋"/>
          <w:color w:val="auto"/>
          <w:sz w:val="24"/>
          <w:szCs w:val="21"/>
          <w:highlight w:val="none"/>
        </w:rPr>
        <w:t xml:space="preserve">为残疾人福利性单位的，此声明函将随</w:t>
      </w:r>
      <w:r>
        <w:rPr>
          <w:rFonts w:ascii="仿宋" w:hAnsi="仿宋" w:eastAsia="仿宋" w:cs="仿宋"/>
          <w:color w:val="auto"/>
          <w:sz w:val="24"/>
          <w:highlight w:val="none"/>
        </w:rPr>
        <w:t xml:space="preserve">中标</w:t>
      </w:r>
      <w:r>
        <w:rPr>
          <w:rFonts w:ascii="仿宋" w:hAnsi="仿宋" w:eastAsia="仿宋" w:cs="仿宋"/>
          <w:color w:val="auto"/>
          <w:sz w:val="24"/>
          <w:szCs w:val="21"/>
          <w:highlight w:val="none"/>
        </w:rPr>
        <w:t xml:space="preserve">结果同时公告，接受社会监督。</w:t>
      </w:r>
      <w:r/>
    </w:p>
    <w:p>
      <w:pPr>
        <w:ind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624"/>
        <w:spacing w:line="588" w:lineRule="exact"/>
        <w:rPr>
          <w:rFonts w:ascii="仿宋" w:hAnsi="仿宋" w:eastAsia="仿宋" w:cs="仿宋"/>
          <w:color w:val="auto"/>
          <w:spacing w:val="6"/>
          <w:sz w:val="30"/>
          <w:szCs w:val="30"/>
          <w:highlight w:val="none"/>
        </w:rPr>
      </w:pPr>
      <w:r>
        <w:rPr>
          <w:rFonts w:ascii="仿宋" w:hAnsi="仿宋" w:eastAsia="仿宋" w:cs="仿宋"/>
          <w:color w:val="auto"/>
          <w:spacing w:val="6"/>
          <w:sz w:val="30"/>
          <w:szCs w:val="30"/>
          <w:highlight w:val="none"/>
        </w:rPr>
      </w:r>
      <w:r/>
    </w:p>
    <w:p>
      <w:pPr>
        <w:ind w:right="1559" w:firstLine="624"/>
        <w:jc w:val="center"/>
        <w:spacing w:line="400" w:lineRule="exact"/>
        <w:tabs>
          <w:tab w:val="left" w:pos="4860" w:leader="none"/>
        </w:tabs>
        <w:rPr>
          <w:rFonts w:ascii="仿宋" w:hAnsi="仿宋" w:eastAsia="仿宋" w:cs="仿宋"/>
          <w:color w:val="auto"/>
          <w:sz w:val="24"/>
          <w:szCs w:val="21"/>
          <w:highlight w:val="none"/>
        </w:rPr>
      </w:pPr>
      <w:r>
        <w:rPr>
          <w:rFonts w:ascii="仿宋" w:hAnsi="仿宋" w:eastAsia="仿宋" w:cs="仿宋"/>
          <w:color w:val="auto"/>
          <w:spacing w:val="6"/>
          <w:sz w:val="30"/>
          <w:szCs w:val="30"/>
          <w:highlight w:val="none"/>
        </w:rPr>
        <w:t xml:space="preserve">             </w:t>
      </w:r>
      <w:r>
        <w:rPr>
          <w:rFonts w:ascii="仿宋" w:hAnsi="仿宋" w:eastAsia="仿宋" w:cs="仿宋"/>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        日  期：</w:t>
      </w:r>
      <w:r>
        <w:rPr>
          <w:color w:val="auto"/>
          <w:highlight w:val="none"/>
        </w:rPr>
        <w:br w:type="page" w:clear="all"/>
      </w:r>
      <w:r/>
    </w:p>
    <w:p>
      <w:pPr>
        <w:spacing w:line="42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附件9</w:t>
      </w:r>
      <w:r/>
    </w:p>
    <w:p>
      <w:pPr>
        <w:jc w:val="center"/>
        <w:spacing w:line="42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监狱和戒毒企业证明材料</w:t>
      </w:r>
      <w:r/>
    </w:p>
    <w:p>
      <w:pPr>
        <w:ind w:firstLine="495"/>
        <w:spacing w:line="42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42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（格式自拟）</w:t>
      </w:r>
      <w:r/>
    </w:p>
    <w:p>
      <w:pPr>
        <w:ind w:firstLine="495"/>
        <w:spacing w:line="42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1、专门面向中小微型企业采购的项目，投标人如不提供此证明材料，则不能通过资格审查；非专门面向中小微型企业采购的项目，投标人如不提供此证明材料，价格将不做相应扣除。</w:t>
      </w:r>
      <w:r/>
    </w:p>
    <w:p>
      <w:pPr>
        <w:ind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p>
    <w:p>
      <w:pPr>
        <w:ind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color w:val="auto"/>
          <w:highlight w:val="none"/>
        </w:rPr>
        <w:br w:type="page" w:clear="all"/>
      </w:r>
      <w:r/>
    </w:p>
    <w:p>
      <w:pP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附件10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技术要求响应及偏离表</w:t>
      </w:r>
      <w:r>
        <w:rPr>
          <w:rFonts w:hint="eastAsia" w:ascii="仿宋" w:hAnsi="仿宋" w:eastAsia="仿宋" w:cs="仿宋"/>
          <w:b/>
          <w:color w:val="auto"/>
          <w:sz w:val="24"/>
          <w:szCs w:val="21"/>
          <w:highlight w:val="none"/>
        </w:rPr>
        <w:t xml:space="preserve">（分包号：**）</w:t>
      </w:r>
      <w:r/>
    </w:p>
    <w:p>
      <w:pPr>
        <w:ind w:left="0" w:firstLine="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（由投标人据实填写，表格不够自行添加）</w:t>
      </w:r>
      <w:r/>
    </w:p>
    <w:tbl>
      <w:tblPr>
        <w:tblStyle w:val="91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890"/>
        <w:gridCol w:w="2426"/>
        <w:gridCol w:w="2119"/>
        <w:gridCol w:w="2734"/>
        <w:gridCol w:w="1507"/>
      </w:tblGrid>
      <w:tr>
        <w:trPr>
          <w:jc w:val="center"/>
          <w:trHeight w:val="994"/>
        </w:trPr>
        <w:tc>
          <w:tcPr>
            <w:tcBorders>
              <w:top w:val="single" w:color="000000" w:sz="12" w:space="0"/>
              <w:left w:val="single" w:color="000000" w:sz="12" w:space="0"/>
              <w:bottom w:val="single" w:color="000000" w:sz="6" w:space="0"/>
              <w:right w:val="single" w:color="000000" w:sz="6" w:space="0"/>
            </w:tcBorders>
            <w:tcW w:w="870"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货物名称</w:t>
            </w:r>
            <w:r/>
          </w:p>
        </w:tc>
        <w:tc>
          <w:tcPr>
            <w:tcBorders>
              <w:top w:val="single" w:color="000000" w:sz="12" w:space="0"/>
              <w:left w:val="single" w:color="000000" w:sz="6" w:space="0"/>
              <w:bottom w:val="single" w:color="000000" w:sz="6" w:space="0"/>
              <w:right w:val="single" w:color="000000" w:sz="6" w:space="0"/>
            </w:tcBorders>
            <w:tcW w:w="20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2673"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73"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870"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附件10-1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contextualSpacing/>
        <w:spacing w:line="300" w:lineRule="auto"/>
        <w:rPr>
          <w:rFonts w:ascii="仿宋" w:hAnsi="仿宋" w:eastAsia="仿宋" w:cs="仿宋"/>
          <w:b/>
          <w:bCs/>
          <w:color w:val="auto"/>
          <w:sz w:val="24"/>
          <w:highlight w:val="none"/>
        </w:rPr>
      </w:pPr>
      <w:r>
        <w:rPr>
          <w:rFonts w:ascii="仿宋" w:hAnsi="仿宋" w:eastAsia="仿宋" w:cs="仿宋"/>
          <w:color w:val="auto"/>
          <w:sz w:val="24"/>
          <w:highlight w:val="none"/>
        </w:rPr>
        <w:t xml:space="preserve">1. 投标人提交的投标文件中与招标文件第四章“采购需求”中的技术要求（未加斜体下划线的非实质性内容）如有偏离的，应逐条填列在偏离表中。</w:t>
      </w:r>
      <w:r>
        <w:rPr>
          <w:rFonts w:ascii="仿宋" w:hAnsi="仿宋" w:eastAsia="仿宋" w:cs="仿宋"/>
          <w:b/>
          <w:bCs/>
          <w:color w:val="auto"/>
          <w:sz w:val="24"/>
          <w:szCs w:val="24"/>
          <w:highlight w:val="none"/>
        </w:rPr>
        <w:t xml:space="preserve">如果招标文件要求提供证明材料，投标人需将证明材料列于该表之下。</w:t>
      </w:r>
      <w:r/>
    </w:p>
    <w:p>
      <w:pPr>
        <w:contextualSpacing/>
        <w:spacing w:line="300" w:lineRule="auto"/>
        <w:rPr>
          <w:rFonts w:ascii="仿宋" w:hAnsi="仿宋" w:eastAsia="仿宋" w:cs="仿宋"/>
          <w:color w:val="auto"/>
          <w:sz w:val="24"/>
          <w:highlight w:val="none"/>
        </w:rPr>
      </w:pPr>
      <w:r>
        <w:rPr>
          <w:rFonts w:ascii="仿宋" w:hAnsi="仿宋" w:eastAsia="仿宋" w:cs="仿宋"/>
          <w:color w:val="auto"/>
          <w:sz w:val="24"/>
          <w:highlight w:val="none"/>
        </w:rPr>
        <w:t xml:space="preserve">2.“偏离说明”一栏选择“正偏离”、“无偏离”、“负偏离”进行填写。未填写的内容视为完全响应本招标文件要求。正偏离、无偏离的确认和负偏离是否响应招标文件，由评委会认定。</w:t>
      </w:r>
      <w:r/>
    </w:p>
    <w:p>
      <w:pPr>
        <w:pStyle w:val="993"/>
        <w:rPr>
          <w:rFonts w:ascii="仿宋" w:hAnsi="仿宋" w:eastAsia="仿宋" w:cs="仿宋"/>
          <w:color w:val="auto"/>
          <w:sz w:val="24"/>
          <w:highlight w:val="none"/>
        </w:rPr>
      </w:pPr>
      <w:r>
        <w:rPr>
          <w:rFonts w:ascii="仿宋" w:hAnsi="仿宋" w:eastAsia="仿宋" w:cs="仿宋"/>
          <w:color w:val="auto"/>
          <w:sz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color w:val="auto"/>
          <w:highlight w:val="none"/>
        </w:rPr>
        <w:br w:type="page" w:clear="all"/>
      </w:r>
      <w:r/>
    </w:p>
    <w:p>
      <w:pP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附件11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商务要求响应及偏离表</w:t>
      </w:r>
      <w:r>
        <w:rPr>
          <w:rFonts w:hint="eastAsia" w:ascii="仿宋" w:hAnsi="仿宋" w:eastAsia="仿宋" w:cs="仿宋"/>
          <w:b/>
          <w:color w:val="auto"/>
          <w:sz w:val="24"/>
          <w:szCs w:val="21"/>
          <w:highlight w:val="none"/>
        </w:rPr>
        <w:t xml:space="preserve">（分包号：**）</w:t>
      </w:r>
      <w:r/>
    </w:p>
    <w:p>
      <w:pPr>
        <w:ind w:left="0" w:firstLine="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（由投标人据实填写，表格不够自行添加）</w:t>
      </w:r>
      <w:r/>
    </w:p>
    <w:tbl>
      <w:tblPr>
        <w:tblStyle w:val="91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890"/>
        <w:gridCol w:w="2426"/>
        <w:gridCol w:w="2119"/>
        <w:gridCol w:w="2734"/>
        <w:gridCol w:w="1507"/>
      </w:tblGrid>
      <w:tr>
        <w:trPr>
          <w:jc w:val="center"/>
          <w:trHeight w:val="994"/>
        </w:trPr>
        <w:tc>
          <w:tcPr>
            <w:tcBorders>
              <w:top w:val="single" w:color="000000" w:sz="12" w:space="0"/>
              <w:left w:val="single" w:color="000000" w:sz="12" w:space="0"/>
              <w:bottom w:val="single" w:color="000000" w:sz="6" w:space="0"/>
              <w:right w:val="single" w:color="000000" w:sz="6" w:space="0"/>
            </w:tcBorders>
            <w:tcW w:w="870"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货物名称</w:t>
            </w:r>
            <w:r/>
          </w:p>
        </w:tc>
        <w:tc>
          <w:tcPr>
            <w:tcBorders>
              <w:top w:val="single" w:color="000000" w:sz="12" w:space="0"/>
              <w:left w:val="single" w:color="000000" w:sz="6" w:space="0"/>
              <w:bottom w:val="single" w:color="000000" w:sz="6" w:space="0"/>
              <w:right w:val="single" w:color="000000" w:sz="6" w:space="0"/>
            </w:tcBorders>
            <w:tcW w:w="20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招标文件要求的商务要求</w:t>
            </w:r>
            <w:r/>
          </w:p>
        </w:tc>
        <w:tc>
          <w:tcPr>
            <w:tcBorders>
              <w:top w:val="single" w:color="000000" w:sz="12" w:space="0"/>
              <w:left w:val="single" w:color="000000" w:sz="6" w:space="0"/>
              <w:bottom w:val="single" w:color="000000" w:sz="6" w:space="0"/>
              <w:right w:val="single" w:color="000000" w:sz="6" w:space="0"/>
            </w:tcBorders>
            <w:tcW w:w="2673"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73"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870"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附件11-1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jc w:val="center"/>
        <w:rPr>
          <w:rFonts w:ascii="仿宋" w:hAnsi="仿宋" w:eastAsia="仿宋" w:cs="仿宋"/>
          <w:b/>
          <w:color w:val="auto"/>
          <w:sz w:val="24"/>
          <w:szCs w:val="24"/>
          <w:highlight w:val="none"/>
        </w:rPr>
      </w:pPr>
      <w:r>
        <w:rPr>
          <w:color w:val="auto"/>
          <w:highlight w:val="none"/>
        </w:rPr>
        <w:br w:type="page" w:clear="all"/>
      </w:r>
      <w:r/>
    </w:p>
    <w:p>
      <w:pPr>
        <w:jc w:val="lef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附件12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实质性要求响应及偏离表</w:t>
      </w:r>
      <w:r>
        <w:rPr>
          <w:rFonts w:hint="eastAsia" w:ascii="仿宋" w:hAnsi="仿宋" w:eastAsia="仿宋" w:cs="仿宋"/>
          <w:b/>
          <w:color w:val="auto"/>
          <w:sz w:val="24"/>
          <w:szCs w:val="21"/>
          <w:highlight w:val="none"/>
        </w:rPr>
        <w:t xml:space="preserve">（分包号：**）</w:t>
      </w:r>
      <w:r/>
    </w:p>
    <w:tbl>
      <w:tblPr>
        <w:tblStyle w:val="912"/>
        <w:tblW w:w="8997" w:type="dxa"/>
        <w:jc w:val="center"/>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招标文件技术要求和商务要求中的实质性要求</w:t>
            </w:r>
            <w:r>
              <w:rPr>
                <w:rFonts w:ascii="仿宋" w:hAnsi="仿宋" w:eastAsia="仿宋" w:cs="仿宋"/>
                <w:i/>
                <w:color w:val="auto"/>
                <w:sz w:val="24"/>
                <w:szCs w:val="24"/>
                <w:highlight w:val="none"/>
                <w:u w:val="single"/>
              </w:rPr>
              <w:t xml:space="preserve">（加斜体下划线内容）</w:t>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正偏离、无偏离、负偏离</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附件12-1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2.如果采购文件要求提供证明材料，供应商必须将证明材料列于该表之下，否则作无效响应处理。</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24"/>
          <w:szCs w:val="24"/>
          <w:highlight w:val="none"/>
        </w:rPr>
      </w:pPr>
      <w:r>
        <w:rPr>
          <w:color w:val="auto"/>
          <w:highlight w:val="none"/>
        </w:rPr>
        <w:br w:type="page" w:clear="all"/>
      </w:r>
      <w:r/>
    </w:p>
    <w:p>
      <w:pPr>
        <w:jc w:val="lef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附件13</w:t>
      </w:r>
      <w:r/>
    </w:p>
    <w:p>
      <w:pPr>
        <w:jc w:val="center"/>
        <w:spacing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质疑函范本</w:t>
      </w:r>
      <w:r/>
    </w:p>
    <w:p>
      <w:pPr>
        <w:spacing w:before="290" w:line="4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spacing w:line="400" w:lineRule="exac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lang w:val="en-US" w:eastAsia="zh-CN"/>
        </w:rPr>
        <w:t xml:space="preserve">                                 </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4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4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spacing w:line="4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0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br w:type="page" w:clear="all"/>
      </w:r>
      <w:r/>
    </w:p>
    <w:p>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附件14 </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关于符合本国产品标准的声明函（采购包号：**）</w:t>
      </w:r>
      <w:r/>
    </w:p>
    <w:p>
      <w:pPr>
        <w:pStyle w:val="990"/>
        <w:ind w:firstLine="420"/>
        <w:spacing w:before="0" w:after="0" w:line="0" w:lineRule="atLeast"/>
        <w:rPr>
          <w:rFonts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0"/>
        <w:ind w:firstLine="420"/>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1.</w:t>
      </w:r>
      <w:r>
        <w:rPr>
          <w:rStyle w:val="1036"/>
          <w:rFonts w:hint="eastAsia" w:ascii="仿宋" w:hAnsi="仿宋" w:eastAsia="仿宋" w:cs="仿宋"/>
          <w:color w:val="auto"/>
          <w:highlight w:val="none"/>
          <w:u w:val="single"/>
          <w:shd w:val="clear" w:color="auto" w:fill="ffffff"/>
        </w:rPr>
        <w:t xml:space="preserve">（产品名称1）</w:t>
      </w:r>
      <w:r>
        <w:rPr>
          <w:rStyle w:val="1036"/>
          <w:rFonts w:hint="eastAsia" w:ascii="仿宋" w:hAnsi="仿宋" w:eastAsia="仿宋" w:cs="仿宋"/>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1036"/>
          <w:rFonts w:hint="eastAsia" w:ascii="仿宋" w:hAnsi="仿宋" w:eastAsia="仿宋" w:cs="仿宋"/>
          <w:color w:val="auto"/>
          <w:highlight w:val="none"/>
          <w:u w:val="single"/>
          <w:shd w:val="clear" w:color="auto" w:fill="ffffff"/>
        </w:rPr>
        <w:t xml:space="preserve">（厂名）</w:t>
      </w:r>
      <w:r>
        <w:rPr>
          <w:rStyle w:val="1036"/>
          <w:rFonts w:hint="eastAsia" w:ascii="仿宋" w:hAnsi="仿宋" w:eastAsia="仿宋" w:cs="仿宋"/>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1036"/>
          <w:rFonts w:hint="eastAsia" w:ascii="仿宋" w:hAnsi="仿宋" w:eastAsia="仿宋" w:cs="仿宋"/>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1036"/>
          <w:rFonts w:hint="eastAsia" w:ascii="仿宋" w:hAnsi="仿宋" w:eastAsia="仿宋" w:cs="仿宋"/>
          <w:color w:val="auto"/>
          <w:highlight w:val="none"/>
          <w:u w:val="single"/>
          <w:shd w:val="clear" w:color="auto" w:fill="ffffff"/>
        </w:rPr>
        <w:t xml:space="preserve">（产品名称1） </w:t>
      </w:r>
      <w:r>
        <w:rPr>
          <w:rFonts w:hint="eastAsia" w:ascii="仿宋" w:hAnsi="仿宋" w:eastAsia="仿宋" w:cs="仿宋"/>
          <w:color w:val="auto"/>
          <w:highlight w:val="none"/>
          <w:shd w:val="clear" w:color="auto" w:fill="ffffff"/>
        </w:rPr>
        <w:t xml:space="preserve">的中国境内生产的组件成本占比≥</w:t>
      </w:r>
      <w:r>
        <w:rPr>
          <w:rStyle w:val="1036"/>
          <w:rFonts w:hint="eastAsia" w:ascii="仿宋" w:hAnsi="仿宋" w:eastAsia="仿宋" w:cs="仿宋"/>
          <w:color w:val="auto"/>
          <w:highlight w:val="none"/>
          <w:u w:val="single"/>
          <w:shd w:val="clear" w:color="auto" w:fill="ffffff"/>
        </w:rPr>
        <w:t xml:space="preserve">（规定比例）</w:t>
      </w:r>
      <w:r>
        <w:rPr>
          <w:rStyle w:val="1036"/>
          <w:rFonts w:hint="eastAsia" w:ascii="仿宋" w:hAnsi="仿宋" w:eastAsia="仿宋" w:cs="仿宋"/>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1036"/>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1036"/>
          <w:rFonts w:hint="eastAsia" w:ascii="仿宋" w:hAnsi="仿宋" w:eastAsia="仿宋" w:cs="仿宋"/>
          <w:color w:val="auto"/>
          <w:highlight w:val="none"/>
          <w:u w:val="single"/>
          <w:shd w:val="clear" w:color="auto" w:fill="ffffff"/>
        </w:rPr>
        <w:t xml:space="preserve">（关键组件）</w:t>
      </w:r>
      <w:r>
        <w:rPr>
          <w:rStyle w:val="1036"/>
          <w:rFonts w:hint="eastAsia" w:ascii="仿宋" w:hAnsi="仿宋" w:eastAsia="仿宋" w:cs="仿宋"/>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1036"/>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1036"/>
          <w:rFonts w:hint="eastAsia" w:ascii="仿宋" w:hAnsi="仿宋" w:eastAsia="仿宋" w:cs="仿宋"/>
          <w:color w:val="auto"/>
          <w:highlight w:val="none"/>
          <w:u w:val="single"/>
          <w:shd w:val="clear" w:color="auto" w:fill="ffffff"/>
        </w:rPr>
        <w:t xml:space="preserve">（关键工序）</w:t>
      </w:r>
      <w:r>
        <w:rPr>
          <w:rStyle w:val="1036"/>
          <w:rFonts w:hint="eastAsia" w:ascii="仿宋" w:hAnsi="仿宋" w:eastAsia="仿宋" w:cs="仿宋"/>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990"/>
        <w:ind w:firstLine="420"/>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2.</w:t>
      </w:r>
      <w:r>
        <w:rPr>
          <w:rStyle w:val="1036"/>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1036"/>
          <w:rFonts w:hint="eastAsia" w:ascii="仿宋" w:hAnsi="仿宋" w:eastAsia="仿宋" w:cs="仿宋"/>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1036"/>
          <w:rFonts w:hint="eastAsia" w:ascii="仿宋" w:hAnsi="仿宋" w:eastAsia="仿宋" w:cs="仿宋"/>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1036"/>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的中国境内生产的组件成本占比≥</w:t>
      </w:r>
      <w:r>
        <w:rPr>
          <w:rStyle w:val="1036"/>
          <w:rFonts w:hint="eastAsia" w:ascii="仿宋" w:hAnsi="仿宋" w:eastAsia="仿宋" w:cs="仿宋"/>
          <w:color w:val="auto"/>
          <w:highlight w:val="none"/>
          <w:u w:val="single"/>
          <w:shd w:val="clear" w:color="auto" w:fill="ffffff"/>
        </w:rPr>
        <w:t xml:space="preserve">（规定比例）</w:t>
      </w:r>
      <w:r>
        <w:rPr>
          <w:rFonts w:hint="eastAsia" w:ascii="仿宋" w:hAnsi="仿宋" w:eastAsia="仿宋" w:cs="仿宋"/>
          <w:color w:val="auto"/>
          <w:highlight w:val="none"/>
          <w:shd w:val="clear" w:color="auto" w:fill="ffffff"/>
        </w:rPr>
        <w:t xml:space="preserve">。</w:t>
      </w:r>
      <w:r>
        <w:rPr>
          <w:rStyle w:val="1036"/>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w:t>
      </w:r>
      <w:r>
        <w:rPr>
          <w:rStyle w:val="1036"/>
          <w:rFonts w:hint="eastAsia" w:ascii="仿宋" w:hAnsi="仿宋" w:eastAsia="仿宋" w:cs="仿宋"/>
          <w:color w:val="auto"/>
          <w:highlight w:val="none"/>
          <w:u w:val="single"/>
          <w:shd w:val="clear" w:color="auto" w:fill="ffffff"/>
        </w:rPr>
        <w:t xml:space="preserve">（关键组件）</w:t>
      </w:r>
      <w:r>
        <w:rPr>
          <w:rFonts w:hint="eastAsia" w:ascii="仿宋" w:hAnsi="仿宋" w:eastAsia="仿宋" w:cs="仿宋"/>
          <w:color w:val="auto"/>
          <w:highlight w:val="none"/>
          <w:shd w:val="clear" w:color="auto" w:fill="ffffff"/>
        </w:rPr>
        <w:t xml:space="preserve">在中国境内生产。</w:t>
      </w:r>
      <w:r>
        <w:rPr>
          <w:rStyle w:val="1036"/>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1036"/>
          <w:rFonts w:hint="eastAsia" w:ascii="仿宋" w:hAnsi="仿宋" w:eastAsia="仿宋" w:cs="仿宋"/>
          <w:color w:val="auto"/>
          <w:highlight w:val="none"/>
          <w:u w:val="single"/>
          <w:shd w:val="clear" w:color="auto" w:fill="ffffff"/>
        </w:rPr>
        <w:t xml:space="preserve">（关键工序）</w:t>
      </w:r>
      <w:r>
        <w:rPr>
          <w:rFonts w:hint="eastAsia" w:ascii="仿宋" w:hAnsi="仿宋" w:eastAsia="仿宋" w:cs="仿宋"/>
          <w:color w:val="auto"/>
          <w:highlight w:val="none"/>
          <w:shd w:val="clear" w:color="auto" w:fill="ffffff"/>
        </w:rPr>
        <w:t xml:space="preserve">在中国境内完成。</w:t>
      </w:r>
      <w:r/>
    </w:p>
    <w:p>
      <w:pPr>
        <w:pStyle w:val="990"/>
        <w:ind w:firstLine="420"/>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990"/>
        <w:ind w:firstLine="420"/>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990"/>
        <w:spacing w:before="30" w:after="30" w:line="0" w:lineRule="atLeast"/>
        <w:rPr>
          <w:rFonts w:ascii="仿宋" w:hAnsi="仿宋" w:eastAsia="仿宋" w:cs="仿宋"/>
          <w:color w:val="auto"/>
          <w:highlight w:val="none"/>
        </w:rPr>
      </w:pPr>
      <w:r>
        <w:rPr>
          <w:rFonts w:ascii="仿宋" w:hAnsi="仿宋" w:eastAsia="仿宋" w:cs="仿宋"/>
          <w:color w:val="auto"/>
          <w:highlight w:val="none"/>
        </w:rPr>
      </w:r>
      <w:r/>
    </w:p>
    <w:p>
      <w:pPr>
        <w:pStyle w:val="990"/>
        <w:ind w:right="480" w:firstLine="3720"/>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公司（单位）名称（盖章）：　        </w:t>
      </w:r>
      <w:r/>
    </w:p>
    <w:p>
      <w:pPr>
        <w:pStyle w:val="990"/>
        <w:jc w:val="center"/>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990"/>
        <w:spacing w:before="30" w:after="30" w:line="0" w:lineRule="atLeas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990"/>
        <w:spacing w:before="30" w:after="30" w:line="0" w:lineRule="atLeast"/>
        <w:rPr>
          <w:rFonts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990"/>
        <w:spacing w:before="30" w:after="30" w:line="0" w:lineRule="atLeast"/>
        <w:rPr>
          <w:rFonts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990"/>
        <w:spacing w:before="30" w:after="30" w:line="0" w:lineRule="atLeast"/>
        <w:rPr>
          <w:rFonts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990"/>
        <w:spacing w:before="30" w:after="30" w:line="0" w:lineRule="atLeast"/>
        <w:rPr>
          <w:rFonts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990"/>
        <w:spacing w:before="30" w:after="30" w:line="0" w:lineRule="atLeast"/>
        <w:rPr>
          <w:rFonts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990"/>
        <w:spacing w:before="30" w:after="30" w:line="0" w:lineRule="atLeast"/>
        <w:rPr>
          <w:rFonts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6.用斜线划除的地方无需填写。</w:t>
      </w:r>
      <w:r/>
    </w:p>
    <w:p>
      <w:pP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br w:type="page" w:clear="all"/>
      </w:r>
      <w:r/>
    </w:p>
    <w:p>
      <w:pPr>
        <w:jc w:val="left"/>
        <w:spacing w:line="700" w:lineRule="exact"/>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t xml:space="preserve">附件</w:t>
      </w:r>
      <w:r>
        <w:rPr>
          <w:rFonts w:hint="eastAsia" w:ascii="仿宋" w:hAnsi="仿宋" w:eastAsia="仿宋" w:cs="仿宋"/>
          <w:color w:val="auto"/>
          <w:sz w:val="28"/>
          <w:szCs w:val="28"/>
          <w:highlight w:val="none"/>
          <w:lang w:bidi="ar"/>
        </w:rPr>
        <w:t xml:space="preserve">15</w:t>
      </w:r>
      <w:r/>
    </w:p>
    <w:p>
      <w:pPr>
        <w:jc w:val="cente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办理政采贷和履约保函（保险）告知函</w:t>
      </w:r>
      <w:r/>
    </w:p>
    <w:p>
      <w:pPr>
        <w:rPr>
          <w:rFonts w:eastAsia="仿宋_GB2312;仿宋"/>
          <w:b/>
          <w:bCs/>
          <w:color w:val="auto"/>
          <w:sz w:val="32"/>
          <w:szCs w:val="28"/>
          <w:highlight w:val="none"/>
        </w:rPr>
      </w:pPr>
      <w:r>
        <w:rPr>
          <w:rFonts w:eastAsia="仿宋_GB2312;仿宋"/>
          <w:b/>
          <w:bCs/>
          <w:color w:val="auto"/>
          <w:sz w:val="32"/>
          <w:szCs w:val="28"/>
          <w:highlight w:val="none"/>
        </w:rPr>
      </w:r>
      <w:r/>
    </w:p>
    <w:p>
      <w:pPr>
        <w:ind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各政府采购供应商：</w:t>
      </w:r>
      <w:r/>
    </w:p>
    <w:p>
      <w:pPr>
        <w:ind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欢迎贵公司参与南通市政府采购活动！</w:t>
      </w:r>
      <w:r/>
    </w:p>
    <w:p>
      <w:pPr>
        <w:ind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contextualSpacing/>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contextualSpacing/>
        <w:ind w:firstLine="562"/>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sectPr>
      <w:headerReference w:type="default" r:id="rId11"/>
      <w:headerReference w:type="first" r:id="rId12"/>
      <w:footerReference w:type="default" r:id="rId15"/>
      <w:footerReference w:type="first" r:id="rId16"/>
      <w:footnotePr/>
      <w:endnotePr/>
      <w:type w:val="nextPage"/>
      <w:pgSz w:w="11906" w:h="16838" w:orient="portrait"/>
      <w:pgMar w:top="1418" w:right="1081"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Tahoma">
    <w:panose1 w:val="020B0604030504040204"/>
  </w:font>
  <w:font w:name="方正小标宋_GBK;微软雅黑">
    <w:panose1 w:val="020B0503020202020204"/>
  </w:font>
  <w:font w:name="Noto Sans CJK SC">
    <w:panose1 w:val="020B0503020202020204"/>
  </w:font>
  <w:font w:name="Wingdings">
    <w:panose1 w:val="05000000000000000000"/>
  </w:font>
  <w:font w:name="Liberation Sans">
    <w:panose1 w:val="020B0604020202020204"/>
  </w:font>
  <w:font w:name="Calibri">
    <w:panose1 w:val="020F0502020204030204"/>
  </w:font>
  <w:font w:name="仿宋_GB2312;仿宋">
    <w:panose1 w:val="02010609060101010101"/>
  </w:font>
  <w:font w:name="Lohit Devanagari">
    <w:panose1 w:val="020B0600000000000000"/>
  </w:font>
  <w:font w:name="Courier New">
    <w:panose1 w:val="02070309020205020404"/>
  </w:font>
  <w:font w:name="方正黑体_GBK;微软雅黑">
    <w:panose1 w:val="020B0503020202020204"/>
  </w:font>
  <w:font w:name="Verdana">
    <w:panose1 w:val="020B0604030504040204"/>
  </w:font>
  <w:font w:name="黑体">
    <w:panose1 w:val="02010609060101010101"/>
  </w:font>
  <w:font w:name="幼圆;宋体">
    <w:panose1 w:val="02010509060101010101"/>
  </w:font>
  <w:font w:name="楷体_GB2312;楷体">
    <w:panose1 w:val="02010609060101010101"/>
  </w:font>
  <w:font w:name="Arial">
    <w:panose1 w:val="020B0604020202020204"/>
  </w:font>
  <w:font w:name="Arial Unicode MS;宋体">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rPr>
        <w:rFonts w:eastAsia="Times New Roman"/>
        <w:b/>
        <w:i/>
        <w:sz w:val="20"/>
      </w:rPr>
    </w:pPr>
    <w:r>
      <w:rPr>
        <w:rFonts w:eastAsia="Times New Roman"/>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rPr>
        <w:rFonts w:eastAsia="Times New Roman"/>
        <w:b/>
        <w:i/>
        <w:sz w:val="20"/>
      </w:rPr>
    </w:pPr>
    <w:r>
      <w:rPr>
        <w:rFonts w:eastAsia="Times New Roman"/>
        <w:b/>
        <w:i/>
        <w:sz w:val="20"/>
      </w:rPr>
      <w:t xml:space="preserve"> </w:t>
    </w:r>
    <w: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1" locked="0" layoutInCell="0" allowOverlap="1">
              <wp:simplePos x="0" y="0"/>
              <wp:positionH relativeFrom="margin">
                <wp:align>center</wp:align>
              </wp:positionH>
              <wp:positionV relativeFrom="paragraph">
                <wp:posOffset>635</wp:posOffset>
              </wp:positionV>
              <wp:extent cx="132080" cy="156845"/>
              <wp:effectExtent l="0" t="0" r="0" b="0"/>
              <wp:wrapNone/>
              <wp:docPr id="1" name="Frame2"/>
              <wp:cNvGraphicFramePr/>
              <a:graphic xmlns:a="http://schemas.openxmlformats.org/drawingml/2006/main">
                <a:graphicData uri="http://schemas.microsoft.com/office/word/2010/wordprocessingShape">
                  <wps:wsp>
                    <wps:cNvPr id="0" name=""/>
                    <wps:cNvSpPr txBox="1"/>
                    <wps:spPr bwMode="auto">
                      <a:xfrm>
                        <a:off x="0" y="0"/>
                        <a:ext cx="132080" cy="156845"/>
                      </a:xfrm>
                      <a:prstGeom prst="rect">
                        <a:avLst/>
                      </a:prstGeom>
                      <a:solidFill>
                        <a:srgbClr val="FFFFFF">
                          <a:alpha val="0"/>
                        </a:srgbClr>
                      </a:solidFill>
                    </wps:spPr>
                    <wps:txbx>
                      <w:txbxContent>
                        <w:p>
                          <w:pPr>
                            <w:pStyle w:val="922"/>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27</w:t>
                          </w:r>
                          <w:r>
                            <w:rPr>
                              <w:rFonts w:ascii="宋体" w:hAnsi="宋体" w:cs="宋体"/>
                            </w:rPr>
                            <w:fldChar w:fldCharType="end"/>
                          </w:r>
                          <w:r/>
                        </w:p>
                      </w:txbxContent>
                    </wps:txbx>
                    <wps:bodyPr lIns="635" tIns="635" rIns="635" bIns="635" anchor="t">
                      <a:spAutoFit/>
                    </wps:bodyPr>
                  </wps:wsp>
                </a:graphicData>
              </a:graphic>
            </wp:anchor>
          </w:drawing>
        </mc:Choice>
        <mc:Fallback>
          <w:pict>
            <v:shape id="shape 0" o:spid="_x0000_s0" o:spt="202" type="#_x0000_t202" style="position:absolute;z-index:-251659264;o:allowoverlap:true;o:allowincell:false;mso-position-horizontal-relative:margin;mso-position-horizontal:center;mso-position-vertical-relative:text;margin-top:0.0pt;mso-position-vertical:absolute;width:10.4pt;height:12.3pt;mso-wrap-distance-left:9.0pt;mso-wrap-distance-top:0.0pt;mso-wrap-distance-right:9.0pt;mso-wrap-distance-bottom:0.0pt;v-text-anchor:top;visibility:visible;" fillcolor="#FFFFFF">
              <v:fill opacity="100f"/>
              <v:textbox inset="0,0,0,0">
                <w:txbxContent>
                  <w:p>
                    <w:pPr>
                      <w:pStyle w:val="922"/>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27</w:t>
                    </w:r>
                    <w:r>
                      <w:rPr>
                        <w:rFonts w:ascii="宋体" w:hAnsi="宋体" w:cs="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7"/>
      <w:isLgl w:val="false"/>
      <w:suff w:val="tab"/>
      <w:lvlText w:val="附录%1."/>
      <w:lvlJc w:val="left"/>
      <w:pPr>
        <w:ind w:left="907" w:hanging="907"/>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907"/>
      <w:isLgl w:val="false"/>
      <w:suff w:val="nothing"/>
      <w:lvlText w:val=""/>
      <w:lvlJc w:val="left"/>
      <w:pPr>
        <w:ind w:left="0" w:firstLine="0"/>
        <w:tabs>
          <w:tab w:val="left" w:pos="0" w:leader="none"/>
        </w:tabs>
      </w:pPr>
    </w:lvl>
    <w:lvl w:ilvl="6">
      <w:start w:val="1"/>
      <w:numFmt w:val="none"/>
      <w:pStyle w:val="908"/>
      <w:isLgl w:val="false"/>
      <w:suff w:val="nothing"/>
      <w:lvlText w:val=""/>
      <w:lvlJc w:val="left"/>
      <w:pPr>
        <w:ind w:left="0" w:firstLine="0"/>
        <w:tabs>
          <w:tab w:val="left" w:pos="0" w:leader="none"/>
        </w:tabs>
      </w:pPr>
    </w:lvl>
    <w:lvl w:ilvl="7">
      <w:start w:val="1"/>
      <w:numFmt w:val="none"/>
      <w:pStyle w:val="909"/>
      <w:isLgl w:val="false"/>
      <w:suff w:val="nothing"/>
      <w:lvlText w:val=""/>
      <w:lvlJc w:val="left"/>
      <w:pPr>
        <w:ind w:left="0" w:firstLine="0"/>
        <w:tabs>
          <w:tab w:val="left" w:pos="0" w:leader="none"/>
        </w:tabs>
      </w:pPr>
    </w:lvl>
    <w:lvl w:ilvl="8">
      <w:start w:val="1"/>
      <w:numFmt w:val="none"/>
      <w:pStyle w:val="910"/>
      <w:isLgl w:val="false"/>
      <w:suff w:val="nothing"/>
      <w:lvlText w:val=""/>
      <w:lvlJc w:val="left"/>
      <w:pPr>
        <w:ind w:left="0" w:firstLine="0"/>
        <w:tabs>
          <w:tab w:val="left" w:pos="0" w:leader="none"/>
        </w:tabs>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3"/>
      <w:isLgl w:val="false"/>
      <w:suff w:val="tab"/>
      <w:lvlText w:val="%1."/>
      <w:lvlJc w:val="left"/>
      <w:pPr>
        <w:ind w:left="709" w:hanging="709"/>
        <w:tabs>
          <w:tab w:val="left" w:pos="0" w:leader="none"/>
        </w:tabs>
      </w:pPr>
    </w:lvl>
    <w:lvl w:ilvl="1">
      <w:start w:val="1"/>
      <w:numFmt w:val="decimal"/>
      <w:isLgl w:val="false"/>
      <w:suff w:val="tab"/>
      <w:lvlText w:val="%1.%2"/>
      <w:lvlJc w:val="left"/>
      <w:pPr>
        <w:ind w:left="709" w:hanging="709"/>
        <w:tabs>
          <w:tab w:val="left" w:pos="0" w:leader="none"/>
        </w:tabs>
      </w:pPr>
    </w:lvl>
    <w:lvl w:ilvl="2">
      <w:start w:val="1"/>
      <w:numFmt w:val="decimal"/>
      <w:isLgl w:val="false"/>
      <w:suff w:val="tab"/>
      <w:lvlText w:val="%1.%2.%3."/>
      <w:lvlJc w:val="left"/>
      <w:pPr>
        <w:ind w:left="425" w:hanging="425"/>
        <w:tabs>
          <w:tab w:val="left" w:pos="0" w:leader="none"/>
        </w:tabs>
      </w:pPr>
    </w:lvl>
    <w:lvl w:ilvl="3">
      <w:start w:val="1"/>
      <w:numFmt w:val="decimal"/>
      <w:isLgl w:val="false"/>
      <w:suff w:val="tab"/>
      <w:lvlText w:val="%1.%2.%3.%4."/>
      <w:lvlJc w:val="left"/>
      <w:pPr>
        <w:ind w:left="851" w:hanging="851"/>
        <w:tabs>
          <w:tab w:val="left" w:pos="0" w:leader="none"/>
        </w:tabs>
      </w:pPr>
    </w:lvl>
    <w:lvl w:ilvl="4">
      <w:start w:val="1"/>
      <w:numFmt w:val="decimal"/>
      <w:isLgl w:val="false"/>
      <w:suff w:val="tab"/>
      <w:lvlText w:val="%1.%2.%3.%4.%5."/>
      <w:lvlJc w:val="left"/>
      <w:pPr>
        <w:ind w:left="992" w:hanging="992"/>
        <w:tabs>
          <w:tab w:val="left" w:pos="0" w:leader="none"/>
        </w:tabs>
      </w:pPr>
    </w:lvl>
    <w:lvl w:ilvl="5">
      <w:start w:val="1"/>
      <w:numFmt w:val="decimal"/>
      <w:isLgl w:val="false"/>
      <w:suff w:val="tab"/>
      <w:lvlText w:val="%1.%2.%3.%4.%5.%6."/>
      <w:lvlJc w:val="left"/>
      <w:pPr>
        <w:ind w:left="1134" w:hanging="1134"/>
        <w:tabs>
          <w:tab w:val="left" w:pos="0" w:leader="none"/>
        </w:tabs>
      </w:pPr>
    </w:lvl>
    <w:lvl w:ilvl="6">
      <w:start w:val="1"/>
      <w:numFmt w:val="decimal"/>
      <w:isLgl w:val="false"/>
      <w:suff w:val="tab"/>
      <w:lvlText w:val="%1.%2.%3.%4.%5.%6.%7."/>
      <w:lvlJc w:val="left"/>
      <w:pPr>
        <w:ind w:left="1276" w:hanging="1276"/>
        <w:tabs>
          <w:tab w:val="left" w:pos="0" w:leader="none"/>
        </w:tabs>
      </w:pPr>
    </w:lvl>
    <w:lvl w:ilvl="7">
      <w:start w:val="1"/>
      <w:numFmt w:val="decimal"/>
      <w:isLgl w:val="false"/>
      <w:suff w:val="tab"/>
      <w:lvlText w:val="%1.%2.%3.%4.%5.%6.%7.%8."/>
      <w:lvlJc w:val="left"/>
      <w:pPr>
        <w:ind w:left="1418" w:hanging="1418"/>
        <w:tabs>
          <w:tab w:val="left" w:pos="0" w:leader="none"/>
        </w:tabs>
      </w:pPr>
    </w:lvl>
    <w:lvl w:ilvl="8">
      <w:start w:val="1"/>
      <w:numFmt w:val="decimal"/>
      <w:isLgl w:val="false"/>
      <w:suff w:val="tab"/>
      <w:lvlText w:val="%1.%2.%3.%4.%5.%6.%7.%8.%9."/>
      <w:lvlJc w:val="left"/>
      <w:pPr>
        <w:ind w:left="1559" w:hanging="1559"/>
        <w:tabs>
          <w:tab w:val="left" w:pos="0" w:leader="none"/>
        </w:tabs>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911"/>
    <w:link w:val="902"/>
    <w:uiPriority w:val="9"/>
    <w:rPr>
      <w:rFonts w:ascii="Arial" w:hAnsi="Arial" w:eastAsia="Arial" w:cs="Arial"/>
      <w:sz w:val="40"/>
      <w:szCs w:val="40"/>
    </w:rPr>
  </w:style>
  <w:style w:type="character" w:styleId="748">
    <w:name w:val="Heading 2 Char"/>
    <w:basedOn w:val="911"/>
    <w:link w:val="903"/>
    <w:uiPriority w:val="9"/>
    <w:rPr>
      <w:rFonts w:ascii="Arial" w:hAnsi="Arial" w:eastAsia="Arial" w:cs="Arial"/>
      <w:sz w:val="34"/>
    </w:rPr>
  </w:style>
  <w:style w:type="character" w:styleId="749">
    <w:name w:val="Heading 3 Char"/>
    <w:basedOn w:val="911"/>
    <w:link w:val="904"/>
    <w:uiPriority w:val="9"/>
    <w:rPr>
      <w:rFonts w:ascii="Arial" w:hAnsi="Arial" w:eastAsia="Arial" w:cs="Arial"/>
      <w:sz w:val="30"/>
      <w:szCs w:val="30"/>
    </w:rPr>
  </w:style>
  <w:style w:type="character" w:styleId="750">
    <w:name w:val="Heading 4 Char"/>
    <w:basedOn w:val="911"/>
    <w:link w:val="905"/>
    <w:uiPriority w:val="9"/>
    <w:rPr>
      <w:rFonts w:ascii="Arial" w:hAnsi="Arial" w:eastAsia="Arial" w:cs="Arial"/>
      <w:b/>
      <w:bCs/>
      <w:sz w:val="26"/>
      <w:szCs w:val="26"/>
    </w:rPr>
  </w:style>
  <w:style w:type="character" w:styleId="751">
    <w:name w:val="Heading 5 Char"/>
    <w:basedOn w:val="911"/>
    <w:link w:val="906"/>
    <w:uiPriority w:val="9"/>
    <w:rPr>
      <w:rFonts w:ascii="Arial" w:hAnsi="Arial" w:eastAsia="Arial" w:cs="Arial"/>
      <w:b/>
      <w:bCs/>
      <w:sz w:val="24"/>
      <w:szCs w:val="24"/>
    </w:rPr>
  </w:style>
  <w:style w:type="character" w:styleId="752">
    <w:name w:val="Heading 6 Char"/>
    <w:basedOn w:val="911"/>
    <w:link w:val="907"/>
    <w:uiPriority w:val="9"/>
    <w:rPr>
      <w:rFonts w:ascii="Arial" w:hAnsi="Arial" w:eastAsia="Arial" w:cs="Arial"/>
      <w:b/>
      <w:bCs/>
      <w:sz w:val="22"/>
      <w:szCs w:val="22"/>
    </w:rPr>
  </w:style>
  <w:style w:type="character" w:styleId="753">
    <w:name w:val="Heading 7 Char"/>
    <w:basedOn w:val="911"/>
    <w:link w:val="908"/>
    <w:uiPriority w:val="9"/>
    <w:rPr>
      <w:rFonts w:ascii="Arial" w:hAnsi="Arial" w:eastAsia="Arial" w:cs="Arial"/>
      <w:b/>
      <w:bCs/>
      <w:i/>
      <w:iCs/>
      <w:sz w:val="22"/>
      <w:szCs w:val="22"/>
    </w:rPr>
  </w:style>
  <w:style w:type="character" w:styleId="754">
    <w:name w:val="Heading 8 Char"/>
    <w:basedOn w:val="911"/>
    <w:link w:val="909"/>
    <w:uiPriority w:val="9"/>
    <w:rPr>
      <w:rFonts w:ascii="Arial" w:hAnsi="Arial" w:eastAsia="Arial" w:cs="Arial"/>
      <w:i/>
      <w:iCs/>
      <w:sz w:val="22"/>
      <w:szCs w:val="22"/>
    </w:rPr>
  </w:style>
  <w:style w:type="character" w:styleId="755">
    <w:name w:val="Heading 9 Char"/>
    <w:basedOn w:val="911"/>
    <w:link w:val="910"/>
    <w:uiPriority w:val="9"/>
    <w:rPr>
      <w:rFonts w:ascii="Arial" w:hAnsi="Arial" w:eastAsia="Arial" w:cs="Arial"/>
      <w:i/>
      <w:iCs/>
      <w:sz w:val="21"/>
      <w:szCs w:val="21"/>
    </w:rPr>
  </w:style>
  <w:style w:type="paragraph" w:styleId="756">
    <w:name w:val="List Paragraph"/>
    <w:basedOn w:val="901"/>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01"/>
    <w:next w:val="901"/>
    <w:link w:val="759"/>
    <w:uiPriority w:val="10"/>
    <w:qFormat/>
    <w:pPr>
      <w:contextualSpacing/>
      <w:spacing w:before="300" w:after="200"/>
    </w:pPr>
    <w:rPr>
      <w:sz w:val="48"/>
      <w:szCs w:val="48"/>
    </w:rPr>
  </w:style>
  <w:style w:type="character" w:styleId="759">
    <w:name w:val="Title Char"/>
    <w:basedOn w:val="911"/>
    <w:link w:val="758"/>
    <w:uiPriority w:val="10"/>
    <w:rPr>
      <w:sz w:val="48"/>
      <w:szCs w:val="48"/>
    </w:rPr>
  </w:style>
  <w:style w:type="paragraph" w:styleId="760">
    <w:name w:val="Subtitle"/>
    <w:basedOn w:val="901"/>
    <w:next w:val="901"/>
    <w:link w:val="761"/>
    <w:uiPriority w:val="11"/>
    <w:qFormat/>
    <w:pPr>
      <w:spacing w:before="200" w:after="200"/>
    </w:pPr>
    <w:rPr>
      <w:sz w:val="24"/>
      <w:szCs w:val="24"/>
    </w:rPr>
  </w:style>
  <w:style w:type="character" w:styleId="761">
    <w:name w:val="Subtitle Char"/>
    <w:basedOn w:val="911"/>
    <w:link w:val="760"/>
    <w:uiPriority w:val="11"/>
    <w:rPr>
      <w:sz w:val="24"/>
      <w:szCs w:val="24"/>
    </w:rPr>
  </w:style>
  <w:style w:type="paragraph" w:styleId="762">
    <w:name w:val="Quote"/>
    <w:basedOn w:val="901"/>
    <w:next w:val="901"/>
    <w:link w:val="763"/>
    <w:uiPriority w:val="29"/>
    <w:qFormat/>
    <w:pPr>
      <w:ind w:left="720" w:right="720"/>
    </w:pPr>
    <w:rPr>
      <w:i/>
    </w:rPr>
  </w:style>
  <w:style w:type="character" w:styleId="763">
    <w:name w:val="Quote Char"/>
    <w:link w:val="762"/>
    <w:uiPriority w:val="29"/>
    <w:rPr>
      <w:i/>
    </w:rPr>
  </w:style>
  <w:style w:type="paragraph" w:styleId="764">
    <w:name w:val="Intense Quote"/>
    <w:basedOn w:val="901"/>
    <w:next w:val="901"/>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1"/>
    <w:link w:val="923"/>
    <w:uiPriority w:val="99"/>
  </w:style>
  <w:style w:type="character" w:styleId="767">
    <w:name w:val="Footer Char"/>
    <w:basedOn w:val="911"/>
    <w:link w:val="922"/>
    <w:uiPriority w:val="99"/>
  </w:style>
  <w:style w:type="character" w:styleId="768">
    <w:name w:val="Caption Char"/>
    <w:basedOn w:val="916"/>
    <w:link w:val="922"/>
    <w:uiPriority w:val="99"/>
  </w:style>
  <w:style w:type="table" w:styleId="769">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5fdbc" w:themeFill="accent1" w:themeFillTint="32"/>
      </w:tcPr>
    </w:tblStylePr>
    <w:tblStylePr w:type="band1Vert">
      <w:rPr>
        <w:rFonts w:ascii="Arial" w:hAnsi="Arial"/>
        <w:color w:val="404040"/>
        <w:sz w:val="22"/>
      </w:rPr>
      <w:tcPr>
        <w:shd w:val="clear" w:color="ffffff" w:themeColor="accent1" w:themeTint="32" w:fill="c5fdbc"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ebe03"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43c0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c99c00"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c9211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3fdba" w:themeFill="accent1" w:themeFillTint="34"/>
    </w:tblPr>
    <w:tblStylePr w:type="band1Horz">
      <w:tcPr>
        <w:shd w:val="clear" w:color="ffffff" w:themeColor="accent1" w:themeTint="75" w:fill="79fb64" w:themeFill="accent1" w:themeFillTint="75"/>
      </w:tcPr>
    </w:tblStylePr>
    <w:tblStylePr w:type="band1Vert">
      <w:tcPr>
        <w:shd w:val="clear" w:color="ffffff" w:themeColor="accent1" w:themeTint="75" w:fill="79fb64" w:themeFill="accent1" w:themeFillTint="75"/>
      </w:tcPr>
    </w:tblStylePr>
    <w:tblStylePr w:type="firstCol">
      <w:rPr>
        <w:rFonts w:ascii="Arial" w:hAnsi="Arial"/>
        <w:b/>
        <w:color w:val="ffffff"/>
        <w:sz w:val="22"/>
      </w:rPr>
      <w:tcPr>
        <w:shd w:val="clear" w:color="ffffff" w:themeColor="accent1" w:fill="18a303" w:themeFill="accent1"/>
      </w:tcPr>
    </w:tblStylePr>
    <w:tblStylePr w:type="firstRow">
      <w:rPr>
        <w:rFonts w:ascii="Arial" w:hAnsi="Arial"/>
        <w:b/>
        <w:color w:val="ffffff"/>
        <w:sz w:val="22"/>
      </w:rPr>
      <w:tcPr>
        <w:shd w:val="clear" w:color="ffffff" w:themeColor="accent1" w:fill="18a303" w:themeFill="accent1"/>
      </w:tcPr>
    </w:tblStylePr>
    <w:tblStylePr w:type="lastCol">
      <w:rPr>
        <w:rFonts w:ascii="Arial" w:hAnsi="Arial"/>
        <w:b/>
        <w:color w:val="ffffff"/>
        <w:sz w:val="22"/>
      </w:rPr>
      <w:tcPr>
        <w:shd w:val="clear" w:color="ffffff" w:themeColor="accent1" w:fill="18a303" w:themeFill="accent1"/>
      </w:tcPr>
    </w:tblStylePr>
    <w:tblStylePr w:type="lastRow">
      <w:rPr>
        <w:rFonts w:ascii="Arial" w:hAnsi="Arial"/>
        <w:b/>
        <w:color w:val="ffffff"/>
        <w:sz w:val="22"/>
      </w:rPr>
      <w:tcPr>
        <w:shd w:val="clear" w:color="ffffff" w:themeColor="accent1" w:fill="18a303" w:themeFill="accent1"/>
        <w:tcBorders>
          <w:top w:val="single" w:color="000000" w:themeColor="light1" w:sz="4" w:space="0"/>
        </w:tcBorders>
      </w:tcPr>
    </w:tblStylePr>
  </w:style>
  <w:style w:type="table" w:styleId="805">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bce7fd" w:themeFill="accent2" w:themeFillTint="32"/>
    </w:tblPr>
    <w:tblStylePr w:type="band1Horz">
      <w:tcPr>
        <w:shd w:val="clear" w:color="ffffff" w:themeColor="accent2" w:themeTint="75" w:fill="64c8fb" w:themeFill="accent2" w:themeFillTint="75"/>
      </w:tcPr>
    </w:tblStylePr>
    <w:tblStylePr w:type="band1Vert">
      <w:tcPr>
        <w:shd w:val="clear" w:color="ffffff" w:themeColor="accent2" w:themeTint="75" w:fill="64c8fb" w:themeFill="accent2" w:themeFillTint="75"/>
      </w:tcPr>
    </w:tblStylePr>
    <w:tblStylePr w:type="firstCol">
      <w:rPr>
        <w:rFonts w:ascii="Arial" w:hAnsi="Arial"/>
        <w:b/>
        <w:color w:val="ffffff"/>
        <w:sz w:val="22"/>
      </w:rPr>
      <w:tcPr>
        <w:shd w:val="clear" w:color="ffffff" w:themeColor="accent2" w:fill="0369a3" w:themeFill="accent2"/>
      </w:tcPr>
    </w:tblStylePr>
    <w:tblStylePr w:type="firstRow">
      <w:rPr>
        <w:rFonts w:ascii="Arial" w:hAnsi="Arial"/>
        <w:b/>
        <w:color w:val="ffffff"/>
        <w:sz w:val="22"/>
      </w:rPr>
      <w:tcPr>
        <w:shd w:val="clear" w:color="ffffff" w:themeColor="accent2" w:fill="0369a3" w:themeFill="accent2"/>
      </w:tcPr>
    </w:tblStylePr>
    <w:tblStylePr w:type="lastCol">
      <w:rPr>
        <w:rFonts w:ascii="Arial" w:hAnsi="Arial"/>
        <w:b/>
        <w:color w:val="ffffff"/>
        <w:sz w:val="22"/>
      </w:rPr>
      <w:tcPr>
        <w:shd w:val="clear" w:color="ffffff" w:themeColor="accent2" w:fill="0369a3" w:themeFill="accent2"/>
      </w:tcPr>
    </w:tblStylePr>
    <w:tblStylePr w:type="lastRow">
      <w:rPr>
        <w:rFonts w:ascii="Arial" w:hAnsi="Arial"/>
        <w:b/>
        <w:color w:val="ffffff"/>
        <w:sz w:val="22"/>
      </w:rPr>
      <w:tcPr>
        <w:shd w:val="clear" w:color="ffffff" w:themeColor="accent2" w:fill="0369a3" w:themeFill="accent2"/>
        <w:tcBorders>
          <w:top w:val="single" w:color="000000" w:themeColor="light1" w:sz="4" w:space="0"/>
        </w:tcBorders>
      </w:tcPr>
    </w:tblStylePr>
  </w:style>
  <w:style w:type="table" w:styleId="806">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dd2ba" w:themeFill="accent3" w:themeFillTint="34"/>
    </w:tblPr>
    <w:tblStylePr w:type="band1Horz">
      <w:tcPr>
        <w:shd w:val="clear" w:color="ffffff" w:themeColor="accent3" w:themeTint="75" w:fill="fb9964" w:themeFill="accent3" w:themeFillTint="75"/>
      </w:tcPr>
    </w:tblStylePr>
    <w:tblStylePr w:type="band1Vert">
      <w:tcPr>
        <w:shd w:val="clear" w:color="ffffff" w:themeColor="accent3" w:themeTint="75" w:fill="fb9964" w:themeFill="accent3" w:themeFillTint="75"/>
      </w:tcPr>
    </w:tblStylePr>
    <w:tblStylePr w:type="firstCol">
      <w:rPr>
        <w:rFonts w:ascii="Arial" w:hAnsi="Arial"/>
        <w:b/>
        <w:color w:val="ffffff"/>
        <w:sz w:val="22"/>
      </w:rPr>
      <w:tcPr>
        <w:shd w:val="clear" w:color="ffffff" w:themeColor="accent3" w:fill="a33e03" w:themeFill="accent3"/>
      </w:tcPr>
    </w:tblStylePr>
    <w:tblStylePr w:type="firstRow">
      <w:rPr>
        <w:rFonts w:ascii="Arial" w:hAnsi="Arial"/>
        <w:b/>
        <w:color w:val="ffffff"/>
        <w:sz w:val="22"/>
      </w:rPr>
      <w:tcPr>
        <w:shd w:val="clear" w:color="ffffff" w:themeColor="accent3" w:fill="a33e03" w:themeFill="accent3"/>
      </w:tcPr>
    </w:tblStylePr>
    <w:tblStylePr w:type="lastCol">
      <w:rPr>
        <w:rFonts w:ascii="Arial" w:hAnsi="Arial"/>
        <w:b/>
        <w:color w:val="ffffff"/>
        <w:sz w:val="22"/>
      </w:rPr>
      <w:tcPr>
        <w:shd w:val="clear" w:color="ffffff" w:themeColor="accent3" w:fill="a33e03" w:themeFill="accent3"/>
      </w:tcPr>
    </w:tblStylePr>
    <w:tblStylePr w:type="lastRow">
      <w:rPr>
        <w:rFonts w:ascii="Arial" w:hAnsi="Arial"/>
        <w:b/>
        <w:color w:val="ffffff"/>
        <w:sz w:val="22"/>
      </w:rPr>
      <w:tcPr>
        <w:shd w:val="clear" w:color="ffffff" w:themeColor="accent3" w:fill="a33e03" w:themeFill="accent3"/>
        <w:tcBorders>
          <w:top w:val="single" w:color="000000" w:themeColor="light1" w:sz="4" w:space="0"/>
        </w:tcBorders>
      </w:tcPr>
    </w:tblStylePr>
  </w:style>
  <w:style w:type="table" w:styleId="807">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3bafd" w:themeFill="accent4" w:themeFillTint="34"/>
    </w:tblPr>
    <w:tblStylePr w:type="band1Horz">
      <w:tcPr>
        <w:shd w:val="clear" w:color="ffffff" w:themeColor="accent4" w:themeTint="75" w:fill="e464fb" w:themeFill="accent4" w:themeFillTint="75"/>
      </w:tcPr>
    </w:tblStylePr>
    <w:tblStylePr w:type="band1Vert">
      <w:tcPr>
        <w:shd w:val="clear" w:color="ffffff" w:themeColor="accent4" w:themeTint="75" w:fill="e464fb" w:themeFill="accent4" w:themeFillTint="75"/>
      </w:tcPr>
    </w:tblStylePr>
    <w:tblStylePr w:type="firstCol">
      <w:rPr>
        <w:rFonts w:ascii="Arial" w:hAnsi="Arial"/>
        <w:b/>
        <w:color w:val="ffffff"/>
        <w:sz w:val="22"/>
      </w:rPr>
      <w:tcPr>
        <w:shd w:val="clear" w:color="ffffff" w:themeColor="accent4" w:fill="8e03a3" w:themeFill="accent4"/>
      </w:tcPr>
    </w:tblStylePr>
    <w:tblStylePr w:type="firstRow">
      <w:rPr>
        <w:rFonts w:ascii="Arial" w:hAnsi="Arial"/>
        <w:b/>
        <w:color w:val="ffffff"/>
        <w:sz w:val="22"/>
      </w:rPr>
      <w:tcPr>
        <w:shd w:val="clear" w:color="ffffff" w:themeColor="accent4" w:fill="8e03a3" w:themeFill="accent4"/>
      </w:tcPr>
    </w:tblStylePr>
    <w:tblStylePr w:type="lastCol">
      <w:rPr>
        <w:rFonts w:ascii="Arial" w:hAnsi="Arial"/>
        <w:b/>
        <w:color w:val="ffffff"/>
        <w:sz w:val="22"/>
      </w:rPr>
      <w:tcPr>
        <w:shd w:val="clear" w:color="ffffff" w:themeColor="accent4" w:fill="8e03a3" w:themeFill="accent4"/>
      </w:tcPr>
    </w:tblStylePr>
    <w:tblStylePr w:type="lastRow">
      <w:rPr>
        <w:rFonts w:ascii="Arial" w:hAnsi="Arial"/>
        <w:b/>
        <w:color w:val="ffffff"/>
        <w:sz w:val="22"/>
      </w:rPr>
      <w:tcPr>
        <w:shd w:val="clear" w:color="ffffff" w:themeColor="accent4" w:fill="8e03a3" w:themeFill="accent4"/>
        <w:tcBorders>
          <w:top w:val="single" w:color="000000" w:themeColor="light1" w:sz="4" w:space="0"/>
        </w:tcBorders>
      </w:tcPr>
    </w:tblStylePr>
  </w:style>
  <w:style w:type="table" w:styleId="808">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fefbf" w:themeFill="accent5" w:themeFillTint="34"/>
    </w:tblPr>
    <w:tblStylePr w:type="band1Horz">
      <w:tcPr>
        <w:shd w:val="clear" w:color="ffffff" w:themeColor="accent5" w:themeTint="75" w:fill="ffdb71" w:themeFill="accent5" w:themeFillTint="75"/>
      </w:tcPr>
    </w:tblStylePr>
    <w:tblStylePr w:type="band1Vert">
      <w:tcPr>
        <w:shd w:val="clear" w:color="ffffff" w:themeColor="accent5" w:themeTint="75" w:fill="ffdb71" w:themeFill="accent5" w:themeFillTint="75"/>
      </w:tcPr>
    </w:tblStylePr>
    <w:tblStylePr w:type="firstCol">
      <w:rPr>
        <w:rFonts w:ascii="Arial" w:hAnsi="Arial"/>
        <w:b/>
        <w:color w:val="ffffff"/>
        <w:sz w:val="22"/>
      </w:rPr>
      <w:tcPr>
        <w:shd w:val="clear" w:color="ffffff" w:themeColor="accent5" w:fill="c99c00" w:themeFill="accent5"/>
      </w:tcPr>
    </w:tblStylePr>
    <w:tblStylePr w:type="firstRow">
      <w:rPr>
        <w:rFonts w:ascii="Arial" w:hAnsi="Arial"/>
        <w:b/>
        <w:color w:val="ffffff"/>
        <w:sz w:val="22"/>
      </w:rPr>
      <w:tcPr>
        <w:shd w:val="clear" w:color="ffffff" w:themeColor="accent5" w:fill="c99c00" w:themeFill="accent5"/>
      </w:tcPr>
    </w:tblStylePr>
    <w:tblStylePr w:type="lastCol">
      <w:rPr>
        <w:rFonts w:ascii="Arial" w:hAnsi="Arial"/>
        <w:b/>
        <w:color w:val="ffffff"/>
        <w:sz w:val="22"/>
      </w:rPr>
      <w:tcPr>
        <w:shd w:val="clear" w:color="ffffff" w:themeColor="accent5" w:fill="c99c00" w:themeFill="accent5"/>
      </w:tcPr>
    </w:tblStylePr>
    <w:tblStylePr w:type="lastRow">
      <w:rPr>
        <w:rFonts w:ascii="Arial" w:hAnsi="Arial"/>
        <w:b/>
        <w:color w:val="ffffff"/>
        <w:sz w:val="22"/>
      </w:rPr>
      <w:tcPr>
        <w:shd w:val="clear" w:color="ffffff" w:themeColor="accent5" w:fill="c99c00" w:themeFill="accent5"/>
        <w:tcBorders>
          <w:top w:val="single" w:color="000000" w:themeColor="light1" w:sz="4" w:space="0"/>
        </w:tcBorders>
      </w:tcPr>
    </w:tblStylePr>
  </w:style>
  <w:style w:type="table" w:styleId="809">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7cccc" w:themeFill="accent6" w:themeFillTint="34"/>
    </w:tblPr>
    <w:tblStylePr w:type="band1Horz">
      <w:tcPr>
        <w:shd w:val="clear" w:color="ffffff" w:themeColor="accent6" w:themeTint="75" w:fill="ee8f8f" w:themeFill="accent6" w:themeFillTint="75"/>
      </w:tcPr>
    </w:tblStylePr>
    <w:tblStylePr w:type="band1Vert">
      <w:tcPr>
        <w:shd w:val="clear" w:color="ffffff" w:themeColor="accent6" w:themeTint="75" w:fill="ee8f8f" w:themeFill="accent6" w:themeFillTint="75"/>
      </w:tcPr>
    </w:tblStylePr>
    <w:tblStylePr w:type="firstCol">
      <w:rPr>
        <w:rFonts w:ascii="Arial" w:hAnsi="Arial"/>
        <w:b/>
        <w:color w:val="ffffff"/>
        <w:sz w:val="22"/>
      </w:rPr>
      <w:tcPr>
        <w:shd w:val="clear" w:color="ffffff" w:themeColor="accent6" w:fill="c9211e" w:themeFill="accent6"/>
      </w:tcPr>
    </w:tblStylePr>
    <w:tblStylePr w:type="firstRow">
      <w:rPr>
        <w:rFonts w:ascii="Arial" w:hAnsi="Arial"/>
        <w:b/>
        <w:color w:val="ffffff"/>
        <w:sz w:val="22"/>
      </w:rPr>
      <w:tcPr>
        <w:shd w:val="clear" w:color="ffffff" w:themeColor="accent6" w:fill="c9211e" w:themeFill="accent6"/>
      </w:tcPr>
    </w:tblStylePr>
    <w:tblStylePr w:type="lastCol">
      <w:rPr>
        <w:rFonts w:ascii="Arial" w:hAnsi="Arial"/>
        <w:b/>
        <w:color w:val="ffffff"/>
        <w:sz w:val="22"/>
      </w:rPr>
      <w:tcPr>
        <w:shd w:val="clear" w:color="ffffff" w:themeColor="accent6" w:fill="c9211e" w:themeFill="accent6"/>
      </w:tcPr>
    </w:tblStylePr>
    <w:tblStylePr w:type="lastRow">
      <w:rPr>
        <w:rFonts w:ascii="Arial" w:hAnsi="Arial"/>
        <w:b/>
        <w:color w:val="ffffff"/>
        <w:sz w:val="22"/>
      </w:rPr>
      <w:tcPr>
        <w:shd w:val="clear" w:color="ffffff" w:themeColor="accent6" w:fill="c9211e" w:themeFill="accent6"/>
        <w:tcBorders>
          <w:top w:val="single" w:color="000000" w:themeColor="light1" w:sz="4" w:space="0"/>
        </w:tcBorders>
      </w:tcPr>
    </w:tblStylePr>
  </w:style>
  <w:style w:type="table" w:styleId="810">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404040" w:themeColor="accent1" w:themeTint="80" w:themeShade="95"/>
        <w:sz w:val="22"/>
      </w:rPr>
    </w:tblStylePr>
    <w:tblStylePr w:type="firstCol">
      <w:rPr>
        <w:b/>
        <w:color w:val="1ebf04" w:themeColor="accent1" w:themeTint="80" w:themeShade="95"/>
      </w:rPr>
    </w:tblStylePr>
    <w:tblStylePr w:type="firstRow">
      <w:rPr>
        <w:b/>
        <w:color w:val="1ebf04" w:themeColor="accent1" w:themeTint="80" w:themeShade="95"/>
      </w:rPr>
      <w:tcPr>
        <w:tcBorders>
          <w:bottom w:val="single" w:color="000000" w:themeColor="accent1" w:themeTint="80" w:sz="12" w:space="0"/>
        </w:tcBorders>
      </w:tcPr>
    </w:tblStylePr>
    <w:tblStylePr w:type="lastCol">
      <w:rPr>
        <w:b/>
        <w:color w:val="1ebf04" w:themeColor="accent1" w:themeTint="80" w:themeShade="95"/>
      </w:rPr>
    </w:tblStylePr>
    <w:tblStylePr w:type="lastRow">
      <w:rPr>
        <w:b/>
        <w:color w:val="1ebf04"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12" w:space="0"/>
        </w:tcBorders>
      </w:tcPr>
    </w:tblStylePr>
    <w:tblStylePr w:type="lastCol">
      <w:rPr>
        <w:b/>
        <w:color w:val="0378ae" w:themeColor="accent2" w:themeTint="97" w:themeShade="95"/>
      </w:rPr>
    </w:tblStylePr>
    <w:tblStylePr w:type="lastRow">
      <w:rPr>
        <w:b/>
        <w:color w:val="0378ae"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404040" w:themeColor="accent3" w:themeTint="FE" w:themeShade="95"/>
        <w:sz w:val="22"/>
      </w:rPr>
    </w:tblStylePr>
    <w:tblStylePr w:type="firstCol">
      <w:rPr>
        <w:b/>
        <w:color w:val="5e2201" w:themeColor="accent3" w:themeTint="FE" w:themeShade="95"/>
      </w:rPr>
    </w:tblStylePr>
    <w:tblStylePr w:type="firstRow">
      <w:rPr>
        <w:b/>
        <w:color w:val="5e2201" w:themeColor="accent3" w:themeTint="FE" w:themeShade="95"/>
      </w:rPr>
      <w:tcPr>
        <w:tcBorders>
          <w:bottom w:val="single" w:color="000000" w:themeColor="accent3" w:themeTint="FE" w:sz="12" w:space="0"/>
        </w:tcBorders>
      </w:tcPr>
    </w:tblStylePr>
    <w:tblStylePr w:type="lastCol">
      <w:rPr>
        <w:b/>
        <w:color w:val="5e2201" w:themeColor="accent3" w:themeTint="FE" w:themeShade="95"/>
      </w:rPr>
    </w:tblStylePr>
    <w:tblStylePr w:type="lastRow">
      <w:rPr>
        <w:b/>
        <w:color w:val="5e2201"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12" w:space="0"/>
        </w:tcBorders>
      </w:tcPr>
    </w:tblStylePr>
    <w:tblStylePr w:type="lastCol">
      <w:rPr>
        <w:b/>
        <w:color w:val="9104ab" w:themeColor="accent4" w:themeTint="9A" w:themeShade="95"/>
      </w:rPr>
    </w:tblStylePr>
    <w:tblStylePr w:type="lastRow">
      <w:rPr>
        <w:b/>
        <w:color w:val="9104ab"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5"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6"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817">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ebf04"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1ebf04" w:themeColor="accent1" w:themeTint="80" w:themeShade="95"/>
        <w:sz w:val="22"/>
      </w:rPr>
    </w:tblStylePr>
    <w:tblStylePr w:type="firstCol">
      <w:rPr>
        <w:rFonts w:ascii="Arial" w:hAnsi="Arial"/>
        <w:i/>
        <w:color w:val="1ebf0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ebf0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ebf0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ebf0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0378ae"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0378ae"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0378ae"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e2201"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5e2201" w:themeColor="accent3" w:themeTint="FE" w:themeShade="95"/>
        <w:sz w:val="22"/>
      </w:rPr>
    </w:tblStylePr>
    <w:tblStylePr w:type="firstCol">
      <w:rPr>
        <w:rFonts w:ascii="Arial" w:hAnsi="Arial"/>
        <w:i/>
        <w:color w:val="5e22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e22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e22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e22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9104ab"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9104ab"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9104ab"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74570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745700" w:themeColor="accent5" w:themeShade="95"/>
        <w:sz w:val="22"/>
      </w:rPr>
    </w:tblStylePr>
    <w:tblStylePr w:type="firstCol">
      <w:rPr>
        <w:rFonts w:ascii="Arial" w:hAnsi="Arial"/>
        <w:i/>
        <w:color w:val="745700"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745700"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745700"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745700"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741111" w:themeColor="accent6"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741111" w:themeColor="accent6" w:themeShade="95"/>
        <w:sz w:val="22"/>
      </w:rPr>
    </w:tblStylePr>
    <w:tblStylePr w:type="firstCol">
      <w:rPr>
        <w:rFonts w:ascii="Arial" w:hAnsi="Arial"/>
        <w:i/>
        <w:color w:val="741111"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741111"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741111"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741111"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840">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Pr>
    </w:tblStylePr>
    <w:tblStylePr w:type="lastCol">
      <w:rPr>
        <w:b/>
        <w:color w:val="404040"/>
      </w:rPr>
    </w:tblStylePr>
    <w:tblStylePr w:type="lastRow">
      <w:rPr>
        <w:b/>
        <w:color w:val="404040"/>
      </w:rPr>
    </w:tblStylePr>
  </w:style>
  <w:style w:type="table" w:styleId="841">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a7a35" w:themeFill="accent3" w:themeFillTint="98"/>
      </w:tcPr>
    </w:tblStylePr>
    <w:tblStylePr w:type="lastCol">
      <w:rPr>
        <w:b/>
        <w:color w:val="404040"/>
      </w:rPr>
    </w:tblStylePr>
    <w:tblStylePr w:type="lastRow">
      <w:rPr>
        <w:b/>
        <w:color w:val="404040"/>
      </w:rPr>
    </w:tblStylePr>
  </w:style>
  <w:style w:type="table" w:styleId="842">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Pr>
    </w:tblStylePr>
    <w:tblStylePr w:type="lastCol">
      <w:rPr>
        <w:b/>
        <w:color w:val="404040"/>
      </w:rPr>
    </w:tblStylePr>
    <w:tblStylePr w:type="lastRow">
      <w:rPr>
        <w:b/>
        <w:color w:val="404040"/>
      </w:rPr>
    </w:tblStylePr>
  </w:style>
  <w:style w:type="table" w:styleId="843">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ffd042" w:themeFill="accent5" w:themeFillTint="9A"/>
      </w:tcPr>
    </w:tblStylePr>
    <w:tblStylePr w:type="lastCol">
      <w:rPr>
        <w:b/>
        <w:color w:val="404040"/>
      </w:rPr>
    </w:tblStylePr>
    <w:tblStylePr w:type="lastRow">
      <w:rPr>
        <w:b/>
        <w:color w:val="404040"/>
      </w:rPr>
    </w:tblStylePr>
  </w:style>
  <w:style w:type="table" w:styleId="844">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96e6e" w:themeFill="accent6" w:themeFillTint="98"/>
      </w:tcPr>
    </w:tblStylePr>
    <w:tblStylePr w:type="lastCol">
      <w:rPr>
        <w:b/>
        <w:color w:val="404040"/>
      </w:rPr>
    </w:tblStylePr>
    <w:tblStylePr w:type="lastRow">
      <w:rPr>
        <w:b/>
        <w:color w:val="404040"/>
      </w:rPr>
    </w:tblStylePr>
  </w:style>
  <w:style w:type="table" w:styleId="845">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847">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0369a3" w:themeFill="accent2"/>
      </w:tcPr>
    </w:tblStylePr>
    <w:tblStylePr w:type="lastCol">
      <w:rPr>
        <w:b/>
        <w:color w:val="404040"/>
      </w:rPr>
    </w:tblStylePr>
    <w:tblStylePr w:type="lastRow">
      <w:rPr>
        <w:b/>
        <w:color w:val="404040"/>
      </w:rPr>
    </w:tblStylePr>
  </w:style>
  <w:style w:type="table" w:styleId="848">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33e03" w:themeFill="accent3"/>
      </w:tcPr>
    </w:tblStylePr>
    <w:tblStylePr w:type="lastCol">
      <w:rPr>
        <w:b/>
        <w:color w:val="404040"/>
      </w:rPr>
    </w:tblStylePr>
    <w:tblStylePr w:type="lastRow">
      <w:rPr>
        <w:b/>
        <w:color w:val="404040"/>
      </w:rPr>
    </w:tblStylePr>
  </w:style>
  <w:style w:type="table" w:styleId="849">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e03a3" w:themeFill="accent4"/>
      </w:tcPr>
    </w:tblStylePr>
    <w:tblStylePr w:type="lastCol">
      <w:rPr>
        <w:b/>
        <w:color w:val="404040"/>
      </w:rPr>
    </w:tblStylePr>
    <w:tblStylePr w:type="lastRow">
      <w:rPr>
        <w:b/>
        <w:color w:val="404040"/>
      </w:rPr>
    </w:tblStylePr>
  </w:style>
  <w:style w:type="table" w:styleId="850">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c99c00" w:themeFill="accent5"/>
      </w:tcPr>
    </w:tblStylePr>
    <w:tblStylePr w:type="lastCol">
      <w:rPr>
        <w:b/>
        <w:color w:val="404040"/>
      </w:rPr>
    </w:tblStylePr>
    <w:tblStylePr w:type="lastRow">
      <w:rPr>
        <w:b/>
        <w:color w:val="404040"/>
      </w:rPr>
    </w:tblStylePr>
  </w:style>
  <w:style w:type="table" w:styleId="851">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c9211e" w:themeFill="accent6"/>
      </w:tcPr>
    </w:tblStylePr>
    <w:tblStylePr w:type="lastCol">
      <w:rPr>
        <w:b/>
        <w:color w:val="404040"/>
      </w:rPr>
    </w:tblStylePr>
    <w:tblStylePr w:type="lastRow">
      <w:rPr>
        <w:b/>
        <w:color w:val="404040"/>
      </w:rPr>
    </w:tblStylePr>
  </w:style>
  <w:style w:type="table" w:styleId="852">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8a303" w:themeFill="accent1"/>
    </w:tblPr>
    <w:tblStylePr w:type="band1Horz">
      <w:tcPr>
        <w:shd w:val="clear" w:color="ffffff" w:themeColor="accent1" w:fill="18a303" w:themeFill="accent1"/>
        <w:tcBorders>
          <w:top w:val="single" w:color="000000" w:themeColor="light1" w:sz="4" w:space="0"/>
          <w:bottom w:val="single" w:color="000000" w:themeColor="light1" w:sz="4" w:space="0"/>
        </w:tcBorders>
      </w:tcPr>
    </w:tblStylePr>
    <w:tblStylePr w:type="band1Vert">
      <w:tcPr>
        <w:shd w:val="clear" w:color="ffffff" w:themeColor="accent1" w:fill="18a303" w:themeFill="accent1"/>
        <w:tcBorders>
          <w:left w:val="single" w:color="000000" w:themeColor="light1" w:sz="4" w:space="0"/>
          <w:right w:val="single" w:color="000000" w:themeColor="light1" w:sz="4" w:space="0"/>
        </w:tcBorders>
      </w:tcPr>
    </w:tblStylePr>
    <w:tblStylePr w:type="band2Horz">
      <w:tcPr>
        <w:shd w:val="clear" w:color="ffffff" w:themeColor="accent1" w:fill="18a303"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8a303"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36b8fb" w:themeFill="accent2" w:themeFillTint="97"/>
    </w:tblPr>
    <w:tblStylePr w:type="band1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36b8fb"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36b8fb"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a7a35" w:themeFill="accent3" w:themeFillTint="98"/>
    </w:tblPr>
    <w:tblStylePr w:type="band1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a7a35"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a7a35"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dc33fa" w:themeFill="accent4" w:themeFillTint="9A"/>
    </w:tblPr>
    <w:tblStylePr w:type="band1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dc33fa"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dc33fa"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ffd042" w:themeFill="accent5" w:themeFillTint="9A"/>
    </w:tblPr>
    <w:tblStylePr w:type="band1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ffd042"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ffd042"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96e6e" w:themeFill="accent6" w:themeFillTint="98"/>
    </w:tblPr>
    <w:tblStylePr w:type="band1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96e6e"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96e6e"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404040" w:themeColor="accent1" w:themeShade="95"/>
        <w:sz w:val="22"/>
      </w:rPr>
    </w:tblStylePr>
    <w:tblStylePr w:type="firstCol">
      <w:rPr>
        <w:b/>
        <w:color w:val="0e5e01" w:themeColor="accent1" w:themeShade="95"/>
      </w:rPr>
    </w:tblStylePr>
    <w:tblStylePr w:type="firstRow">
      <w:rPr>
        <w:b/>
        <w:color w:val="0e5e01" w:themeColor="accent1" w:themeShade="95"/>
      </w:rPr>
      <w:tcPr>
        <w:tcBorders>
          <w:bottom w:val="single" w:color="000000" w:themeColor="accent1" w:sz="4" w:space="0"/>
        </w:tcBorders>
      </w:tcPr>
    </w:tblStylePr>
    <w:tblStylePr w:type="lastCol">
      <w:rPr>
        <w:b/>
        <w:color w:val="0e5e01" w:themeColor="accent1" w:themeShade="95"/>
      </w:rPr>
    </w:tblStylePr>
    <w:tblStylePr w:type="lastRow">
      <w:rPr>
        <w:b/>
        <w:color w:val="0e5e01" w:themeColor="accent1" w:themeShade="95"/>
      </w:rPr>
      <w:tcPr>
        <w:tcBorders>
          <w:top w:val="single" w:color="000000" w:themeColor="accent1" w:sz="4" w:space="0"/>
        </w:tcBorders>
      </w:tcPr>
    </w:tblStylePr>
  </w:style>
  <w:style w:type="table" w:styleId="861">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4" w:space="0"/>
        </w:tcBorders>
      </w:tcPr>
    </w:tblStylePr>
    <w:tblStylePr w:type="lastCol">
      <w:rPr>
        <w:b/>
        <w:color w:val="0378ae" w:themeColor="accent2" w:themeTint="97" w:themeShade="95"/>
      </w:rPr>
    </w:tblStylePr>
    <w:tblStylePr w:type="lastRow">
      <w:rPr>
        <w:b/>
        <w:color w:val="0378ae" w:themeColor="accent2" w:themeTint="97" w:themeShade="95"/>
      </w:rPr>
      <w:tcPr>
        <w:tcBorders>
          <w:top w:val="single" w:color="000000" w:themeColor="accent2" w:themeTint="97" w:sz="4" w:space="0"/>
        </w:tcBorders>
      </w:tcPr>
    </w:tblStylePr>
  </w:style>
  <w:style w:type="table" w:styleId="862">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404040" w:themeColor="accent3" w:themeTint="98" w:themeShade="95"/>
        <w:sz w:val="22"/>
      </w:rPr>
    </w:tblStylePr>
    <w:tblStylePr w:type="firstCol">
      <w:rPr>
        <w:b/>
        <w:color w:val="ab3b04" w:themeColor="accent3" w:themeTint="98" w:themeShade="95"/>
      </w:rPr>
    </w:tblStylePr>
    <w:tblStylePr w:type="firstRow">
      <w:rPr>
        <w:b/>
        <w:color w:val="ab3b04" w:themeColor="accent3" w:themeTint="98" w:themeShade="95"/>
      </w:rPr>
      <w:tcPr>
        <w:tcBorders>
          <w:bottom w:val="single" w:color="000000" w:themeColor="accent3" w:themeTint="98" w:sz="4" w:space="0"/>
        </w:tcBorders>
      </w:tcPr>
    </w:tblStylePr>
    <w:tblStylePr w:type="lastCol">
      <w:rPr>
        <w:b/>
        <w:color w:val="ab3b04" w:themeColor="accent3" w:themeTint="98" w:themeShade="95"/>
      </w:rPr>
    </w:tblStylePr>
    <w:tblStylePr w:type="lastRow">
      <w:rPr>
        <w:b/>
        <w:color w:val="ab3b04" w:themeColor="accent3" w:themeTint="98" w:themeShade="95"/>
      </w:rPr>
      <w:tcPr>
        <w:tcBorders>
          <w:top w:val="single" w:color="000000" w:themeColor="accent3" w:themeTint="98" w:sz="4" w:space="0"/>
        </w:tcBorders>
      </w:tcPr>
    </w:tblStylePr>
  </w:style>
  <w:style w:type="table" w:styleId="863">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4" w:space="0"/>
        </w:tcBorders>
      </w:tcPr>
    </w:tblStylePr>
    <w:tblStylePr w:type="lastCol">
      <w:rPr>
        <w:b/>
        <w:color w:val="9104ab" w:themeColor="accent4" w:themeTint="9A" w:themeShade="95"/>
      </w:rPr>
    </w:tblStylePr>
    <w:tblStylePr w:type="lastRow">
      <w:rPr>
        <w:b/>
        <w:color w:val="9104ab" w:themeColor="accent4" w:themeTint="9A" w:themeShade="95"/>
      </w:rPr>
      <w:tcPr>
        <w:tcBorders>
          <w:top w:val="single" w:color="000000" w:themeColor="accent4" w:themeTint="9A" w:sz="4" w:space="0"/>
        </w:tcBorders>
      </w:tcPr>
    </w:tblStylePr>
  </w:style>
  <w:style w:type="table" w:styleId="864">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404040" w:themeColor="accent5" w:themeTint="9A" w:themeShade="95"/>
        <w:sz w:val="22"/>
      </w:rPr>
    </w:tblStylePr>
    <w:tblStylePr w:type="firstCol">
      <w:rPr>
        <w:b/>
        <w:color w:val="ba8700" w:themeColor="accent5" w:themeTint="9A" w:themeShade="95"/>
      </w:rPr>
    </w:tblStylePr>
    <w:tblStylePr w:type="firstRow">
      <w:rPr>
        <w:b/>
        <w:color w:val="ba8700" w:themeColor="accent5" w:themeTint="9A" w:themeShade="95"/>
      </w:rPr>
      <w:tcPr>
        <w:tcBorders>
          <w:bottom w:val="single" w:color="000000" w:themeColor="accent5" w:themeTint="9A" w:sz="4" w:space="0"/>
        </w:tcBorders>
      </w:tcPr>
    </w:tblStylePr>
    <w:tblStylePr w:type="lastCol">
      <w:rPr>
        <w:b/>
        <w:color w:val="ba8700" w:themeColor="accent5" w:themeTint="9A" w:themeShade="95"/>
      </w:rPr>
    </w:tblStylePr>
    <w:tblStylePr w:type="lastRow">
      <w:rPr>
        <w:b/>
        <w:color w:val="ba8700" w:themeColor="accent5" w:themeTint="9A" w:themeShade="95"/>
      </w:rPr>
      <w:tcPr>
        <w:tcBorders>
          <w:top w:val="single" w:color="000000" w:themeColor="accent5" w:themeTint="9A" w:sz="4" w:space="0"/>
        </w:tcBorders>
      </w:tcPr>
    </w:tblStylePr>
  </w:style>
  <w:style w:type="table" w:styleId="865">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404040" w:themeColor="accent6" w:themeTint="98" w:themeShade="95"/>
        <w:sz w:val="22"/>
      </w:rPr>
    </w:tblStylePr>
    <w:tblStylePr w:type="firstCol">
      <w:rPr>
        <w:b/>
        <w:color w:val="ad1a1a" w:themeColor="accent6" w:themeTint="98" w:themeShade="95"/>
      </w:rPr>
    </w:tblStylePr>
    <w:tblStylePr w:type="firstRow">
      <w:rPr>
        <w:b/>
        <w:color w:val="ad1a1a" w:themeColor="accent6" w:themeTint="98" w:themeShade="95"/>
      </w:rPr>
      <w:tcPr>
        <w:tcBorders>
          <w:bottom w:val="single" w:color="000000" w:themeColor="accent6" w:themeTint="98" w:sz="4" w:space="0"/>
        </w:tcBorders>
      </w:tcPr>
    </w:tblStylePr>
    <w:tblStylePr w:type="lastCol">
      <w:rPr>
        <w:b/>
        <w:color w:val="ad1a1a" w:themeColor="accent6" w:themeTint="98" w:themeShade="95"/>
      </w:rPr>
    </w:tblStylePr>
    <w:tblStylePr w:type="lastRow">
      <w:rPr>
        <w:b/>
        <w:color w:val="ad1a1a" w:themeColor="accent6" w:themeTint="98" w:themeShade="95"/>
      </w:rPr>
      <w:tcPr>
        <w:tcBorders>
          <w:top w:val="single" w:color="000000" w:themeColor="accent6" w:themeTint="98" w:sz="4" w:space="0"/>
        </w:tcBorders>
      </w:tcPr>
    </w:tblStylePr>
  </w:style>
  <w:style w:type="table" w:styleId="866">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e5e01"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0e5e01" w:themeColor="accent1" w:themeShade="95"/>
        <w:sz w:val="22"/>
      </w:rPr>
    </w:tblStylePr>
    <w:tblStylePr w:type="firstCol">
      <w:rPr>
        <w:rFonts w:ascii="Arial" w:hAnsi="Arial"/>
        <w:i/>
        <w:color w:val="0e5e0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e5e0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e5e0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e5e0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e5e01" w:themeColor="accent1" w:themeShade="95"/>
        <w:sz w:val="22"/>
      </w:rPr>
    </w:tblStylePr>
  </w:style>
  <w:style w:type="table" w:styleId="868">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0378ae"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0378ae"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0378ae"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0378ae" w:themeColor="accent2" w:themeTint="97" w:themeShade="95"/>
        <w:sz w:val="22"/>
      </w:rPr>
    </w:tblStylePr>
  </w:style>
  <w:style w:type="table" w:styleId="869">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ab3b04"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ab3b04" w:themeColor="accent3" w:themeTint="98" w:themeShade="95"/>
        <w:sz w:val="22"/>
      </w:rPr>
    </w:tblStylePr>
    <w:tblStylePr w:type="firstCol">
      <w:rPr>
        <w:rFonts w:ascii="Arial" w:hAnsi="Arial"/>
        <w:i/>
        <w:color w:val="ab3b04"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ab3b04"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ab3b04"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ab3b04"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ab3b04" w:themeColor="accent3" w:themeTint="98" w:themeShade="95"/>
        <w:sz w:val="22"/>
      </w:rPr>
    </w:tblStylePr>
  </w:style>
  <w:style w:type="table" w:styleId="870">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9104ab"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9104ab"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9104ab"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9104ab" w:themeColor="accent4" w:themeTint="9A" w:themeShade="95"/>
        <w:sz w:val="22"/>
      </w:rPr>
    </w:tblStylePr>
  </w:style>
  <w:style w:type="table" w:styleId="871">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ba870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ba8700" w:themeColor="accent5" w:themeTint="9A" w:themeShade="95"/>
        <w:sz w:val="22"/>
      </w:rPr>
    </w:tblStylePr>
    <w:tblStylePr w:type="firstCol">
      <w:rPr>
        <w:rFonts w:ascii="Arial" w:hAnsi="Arial"/>
        <w:i/>
        <w:color w:val="ba870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ba870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ba870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ba870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ba8700" w:themeColor="accent5" w:themeTint="9A" w:themeShade="95"/>
        <w:sz w:val="22"/>
      </w:rPr>
    </w:tblStylePr>
  </w:style>
  <w:style w:type="table" w:styleId="872">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ad1a1a"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ad1a1a" w:themeColor="accent6" w:themeTint="98" w:themeShade="95"/>
        <w:sz w:val="22"/>
      </w:rPr>
    </w:tblStylePr>
    <w:tblStylePr w:type="firstCol">
      <w:rPr>
        <w:rFonts w:ascii="Arial" w:hAnsi="Arial"/>
        <w:i/>
        <w:color w:val="ad1a1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ad1a1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ad1a1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ad1a1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ad1a1a" w:themeColor="accent6" w:themeTint="98" w:themeShade="95"/>
        <w:sz w:val="22"/>
      </w:rPr>
    </w:tblStylePr>
  </w:style>
  <w:style w:type="table" w:styleId="873">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875">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876">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877">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878">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879">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880">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882">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883">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884">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885">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886">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887">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Footnote Text Char"/>
    <w:link w:val="927"/>
    <w:uiPriority w:val="99"/>
    <w:rPr>
      <w:sz w:val="18"/>
    </w:rPr>
  </w:style>
  <w:style w:type="character" w:styleId="895">
    <w:name w:val="footnote reference"/>
    <w:basedOn w:val="911"/>
    <w:uiPriority w:val="99"/>
    <w:unhideWhenUsed/>
    <w:rPr>
      <w:vertAlign w:val="superscript"/>
    </w:rPr>
  </w:style>
  <w:style w:type="paragraph" w:styleId="896">
    <w:name w:val="endnote text"/>
    <w:basedOn w:val="901"/>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basedOn w:val="911"/>
    <w:uiPriority w:val="99"/>
    <w:semiHidden/>
    <w:unhideWhenUsed/>
    <w:rPr>
      <w:vertAlign w:val="superscript"/>
    </w:r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13"/>
    <w:uiPriority w:val="0"/>
    <w:qFormat/>
    <w:pPr>
      <w:jc w:val="both"/>
      <w:widowControl w:val="off"/>
    </w:pPr>
    <w:rPr>
      <w:rFonts w:ascii="Times New Roman" w:hAnsi="Times New Roman" w:eastAsia="宋体" w:cs="Times New Roman"/>
      <w:sz w:val="21"/>
      <w:szCs w:val="22"/>
      <w:lang w:val="en-US" w:eastAsia="zh-CN" w:bidi="ar-SA"/>
    </w:rPr>
  </w:style>
  <w:style w:type="paragraph" w:styleId="902">
    <w:name w:val="Heading 1"/>
    <w:basedOn w:val="901"/>
    <w:next w:val="901"/>
    <w:uiPriority w:val="0"/>
    <w:qFormat/>
    <w:pPr>
      <w:jc w:val="center"/>
      <w:keepNext/>
      <w:outlineLvl w:val="0"/>
    </w:pPr>
    <w:rPr>
      <w:rFonts w:ascii="楷体_GB2312;楷体" w:hAnsi="楷体_GB2312;楷体" w:eastAsia="楷体_GB2312;楷体"/>
      <w:sz w:val="28"/>
      <w:szCs w:val="28"/>
    </w:rPr>
  </w:style>
  <w:style w:type="paragraph" w:styleId="903">
    <w:name w:val="Heading 2"/>
    <w:basedOn w:val="901"/>
    <w:next w:val="914"/>
    <w:uiPriority w:val="0"/>
    <w:qFormat/>
    <w:pPr>
      <w:jc w:val="center"/>
      <w:keepLines/>
      <w:keepNext/>
      <w:spacing w:before="260" w:after="260" w:line="415" w:lineRule="auto"/>
      <w:outlineLvl w:val="1"/>
    </w:pPr>
    <w:rPr>
      <w:rFonts w:ascii="Arial" w:hAnsi="Arial" w:eastAsia="幼圆;宋体" w:cs="Arial"/>
      <w:b/>
      <w:bCs/>
      <w:sz w:val="44"/>
      <w:szCs w:val="44"/>
    </w:rPr>
  </w:style>
  <w:style w:type="paragraph" w:styleId="904">
    <w:name w:val="Heading 3"/>
    <w:basedOn w:val="901"/>
    <w:next w:val="914"/>
    <w:uiPriority w:val="0"/>
    <w:qFormat/>
    <w:pPr>
      <w:keepLines/>
      <w:keepNext/>
      <w:spacing w:before="260" w:after="260" w:line="415" w:lineRule="auto"/>
      <w:outlineLvl w:val="2"/>
    </w:pPr>
    <w:rPr>
      <w:b/>
      <w:bCs/>
      <w:sz w:val="32"/>
      <w:szCs w:val="32"/>
    </w:rPr>
  </w:style>
  <w:style w:type="paragraph" w:styleId="905">
    <w:name w:val="Heading 4"/>
    <w:basedOn w:val="901"/>
    <w:next w:val="901"/>
    <w:uiPriority w:val="0"/>
    <w:qFormat/>
    <w:pPr>
      <w:keepLines/>
      <w:keepNext/>
      <w:spacing w:before="280" w:after="290" w:line="374" w:lineRule="auto"/>
      <w:outlineLvl w:val="3"/>
    </w:pPr>
    <w:rPr>
      <w:rFonts w:ascii="Arial" w:hAnsi="Arial" w:eastAsia="黑体" w:cs="Arial"/>
      <w:b/>
      <w:bCs/>
      <w:sz w:val="28"/>
      <w:szCs w:val="28"/>
    </w:rPr>
  </w:style>
  <w:style w:type="paragraph" w:styleId="906">
    <w:name w:val="Heading 5"/>
    <w:basedOn w:val="901"/>
    <w:next w:val="914"/>
    <w:uiPriority w:val="0"/>
    <w:qFormat/>
    <w:pPr>
      <w:keepNext/>
      <w:outlineLvl w:val="4"/>
    </w:pPr>
    <w:rPr>
      <w:rFonts w:ascii="宋体" w:hAnsi="宋体"/>
      <w:color w:val="000000"/>
      <w:sz w:val="28"/>
      <w:szCs w:val="28"/>
    </w:rPr>
  </w:style>
  <w:style w:type="paragraph" w:styleId="907">
    <w:name w:val="Heading 6"/>
    <w:basedOn w:val="901"/>
    <w:next w:val="901"/>
    <w:uiPriority w:val="0"/>
    <w:qFormat/>
    <w:pPr>
      <w:numPr>
        <w:ilvl w:val="5"/>
        <w:numId w:val="1"/>
      </w:numPr>
      <w:keepLines/>
      <w:keepNext/>
      <w:spacing w:before="240" w:after="64" w:line="319" w:lineRule="auto"/>
      <w:outlineLvl w:val="5"/>
    </w:pPr>
    <w:rPr>
      <w:rFonts w:ascii="Arial" w:hAnsi="Arial" w:eastAsia="黑体"/>
      <w:b/>
      <w:bCs/>
      <w:sz w:val="24"/>
      <w:szCs w:val="24"/>
    </w:rPr>
  </w:style>
  <w:style w:type="paragraph" w:styleId="908">
    <w:name w:val="Heading 7"/>
    <w:basedOn w:val="901"/>
    <w:next w:val="901"/>
    <w:uiPriority w:val="0"/>
    <w:qFormat/>
    <w:pPr>
      <w:numPr>
        <w:ilvl w:val="6"/>
        <w:numId w:val="1"/>
      </w:numPr>
      <w:keepLines/>
      <w:keepNext/>
      <w:spacing w:before="240" w:after="64" w:line="319" w:lineRule="auto"/>
      <w:outlineLvl w:val="6"/>
    </w:pPr>
    <w:rPr>
      <w:b/>
      <w:bCs/>
      <w:sz w:val="24"/>
      <w:szCs w:val="24"/>
    </w:rPr>
  </w:style>
  <w:style w:type="paragraph" w:styleId="909">
    <w:name w:val="Heading 8"/>
    <w:basedOn w:val="901"/>
    <w:next w:val="901"/>
    <w:uiPriority w:val="0"/>
    <w:qFormat/>
    <w:pPr>
      <w:numPr>
        <w:ilvl w:val="7"/>
        <w:numId w:val="1"/>
      </w:numPr>
      <w:keepLines/>
      <w:keepNext/>
      <w:spacing w:before="240" w:after="64" w:line="319" w:lineRule="auto"/>
      <w:outlineLvl w:val="7"/>
    </w:pPr>
    <w:rPr>
      <w:rFonts w:ascii="Arial" w:hAnsi="Arial" w:eastAsia="黑体"/>
      <w:sz w:val="24"/>
      <w:szCs w:val="24"/>
    </w:rPr>
  </w:style>
  <w:style w:type="paragraph" w:styleId="910">
    <w:name w:val="Heading 9"/>
    <w:basedOn w:val="901"/>
    <w:next w:val="901"/>
    <w:uiPriority w:val="0"/>
    <w:qFormat/>
    <w:pPr>
      <w:numPr>
        <w:ilvl w:val="8"/>
        <w:numId w:val="1"/>
      </w:numPr>
      <w:keepLines/>
      <w:keepNext/>
      <w:spacing w:before="240" w:after="64" w:line="319" w:lineRule="auto"/>
      <w:outlineLvl w:val="8"/>
    </w:pPr>
    <w:rPr>
      <w:rFonts w:ascii="Arial" w:hAnsi="Arial" w:eastAsia="黑体"/>
      <w:szCs w:val="21"/>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Body Text"/>
    <w:basedOn w:val="901"/>
    <w:next w:val="901"/>
    <w:uiPriority w:val="0"/>
    <w:qFormat/>
    <w:rPr>
      <w:rFonts w:ascii="楷体_GB2312;楷体" w:hAnsi="楷体_GB2312;楷体" w:eastAsia="楷体_GB2312;楷体"/>
      <w:sz w:val="28"/>
      <w:szCs w:val="28"/>
    </w:rPr>
  </w:style>
  <w:style w:type="paragraph" w:styleId="914" w:customStyle="1">
    <w:name w:val="正文缩进11"/>
    <w:basedOn w:val="901"/>
    <w:uiPriority w:val="0"/>
    <w:qFormat/>
    <w:pPr>
      <w:ind w:firstLine="420"/>
    </w:pPr>
    <w:rPr>
      <w:szCs w:val="21"/>
    </w:rPr>
  </w:style>
  <w:style w:type="paragraph" w:styleId="915">
    <w:name w:val="toc 7"/>
    <w:basedOn w:val="901"/>
    <w:next w:val="901"/>
    <w:uiPriority w:val="0"/>
    <w:qFormat/>
    <w:pPr>
      <w:ind w:left="1260"/>
      <w:jc w:val="left"/>
    </w:pPr>
    <w:rPr>
      <w:szCs w:val="21"/>
    </w:rPr>
  </w:style>
  <w:style w:type="paragraph" w:styleId="916">
    <w:name w:val="Caption"/>
    <w:basedOn w:val="901"/>
    <w:next w:val="901"/>
    <w:uiPriority w:val="0"/>
    <w:qFormat/>
    <w:pPr>
      <w:spacing w:before="120" w:after="120"/>
      <w:suppressLineNumbers/>
    </w:pPr>
    <w:rPr>
      <w:rFonts w:cs="Lohit Devanagari"/>
      <w:i/>
      <w:iCs/>
      <w:sz w:val="24"/>
      <w:szCs w:val="24"/>
    </w:rPr>
  </w:style>
  <w:style w:type="paragraph" w:styleId="917">
    <w:name w:val="Body Text Indent"/>
    <w:basedOn w:val="901"/>
    <w:next w:val="918"/>
    <w:link w:val="1039"/>
    <w:uiPriority w:val="0"/>
    <w:qFormat/>
    <w:pPr>
      <w:ind w:left="420"/>
      <w:spacing w:after="120"/>
    </w:pPr>
  </w:style>
  <w:style w:type="paragraph" w:styleId="918">
    <w:name w:val="envelope return"/>
    <w:basedOn w:val="901"/>
    <w:uiPriority w:val="0"/>
    <w:qFormat/>
    <w:rPr>
      <w:rFonts w:ascii="Arial" w:hAnsi="Arial" w:cs="Arial"/>
    </w:rPr>
  </w:style>
  <w:style w:type="paragraph" w:styleId="919">
    <w:name w:val="toc 5"/>
    <w:basedOn w:val="901"/>
    <w:next w:val="901"/>
    <w:uiPriority w:val="0"/>
    <w:qFormat/>
    <w:pPr>
      <w:ind w:left="840"/>
      <w:jc w:val="left"/>
    </w:pPr>
    <w:rPr>
      <w:szCs w:val="21"/>
    </w:rPr>
  </w:style>
  <w:style w:type="paragraph" w:styleId="920">
    <w:name w:val="toc 3"/>
    <w:basedOn w:val="901"/>
    <w:next w:val="901"/>
    <w:uiPriority w:val="0"/>
    <w:qFormat/>
    <w:pPr>
      <w:ind w:left="420"/>
      <w:jc w:val="left"/>
    </w:pPr>
    <w:rPr>
      <w:i/>
      <w:iCs/>
      <w:szCs w:val="24"/>
    </w:rPr>
  </w:style>
  <w:style w:type="paragraph" w:styleId="921">
    <w:name w:val="toc 8"/>
    <w:basedOn w:val="901"/>
    <w:next w:val="901"/>
    <w:uiPriority w:val="0"/>
    <w:qFormat/>
    <w:pPr>
      <w:ind w:left="1470"/>
      <w:jc w:val="left"/>
    </w:pPr>
    <w:rPr>
      <w:szCs w:val="21"/>
    </w:rPr>
  </w:style>
  <w:style w:type="paragraph" w:styleId="922">
    <w:name w:val="Footer"/>
    <w:basedOn w:val="901"/>
    <w:uiPriority w:val="0"/>
    <w:qFormat/>
    <w:pPr>
      <w:jc w:val="left"/>
      <w:tabs>
        <w:tab w:val="center" w:pos="4153" w:leader="none"/>
        <w:tab w:val="right" w:pos="8306" w:leader="none"/>
      </w:tabs>
    </w:pPr>
    <w:rPr>
      <w:sz w:val="18"/>
      <w:szCs w:val="18"/>
    </w:rPr>
  </w:style>
  <w:style w:type="paragraph" w:styleId="923">
    <w:name w:val="Header"/>
    <w:basedOn w:val="901"/>
    <w:uiPriority w:val="0"/>
    <w:qFormat/>
    <w:pPr>
      <w:jc w:val="center"/>
      <w:tabs>
        <w:tab w:val="center" w:pos="4153" w:leader="none"/>
        <w:tab w:val="right" w:pos="8306" w:leader="none"/>
      </w:tabs>
      <w:pBdr>
        <w:bottom w:val="single" w:color="000000" w:sz="6" w:space="1"/>
      </w:pBdr>
    </w:pPr>
    <w:rPr>
      <w:sz w:val="18"/>
      <w:szCs w:val="18"/>
    </w:rPr>
  </w:style>
  <w:style w:type="paragraph" w:styleId="924">
    <w:name w:val="toc 1"/>
    <w:basedOn w:val="901"/>
    <w:next w:val="901"/>
    <w:uiPriority w:val="0"/>
    <w:qFormat/>
    <w:pPr>
      <w:jc w:val="left"/>
      <w:spacing w:before="120" w:after="120" w:line="400" w:lineRule="exact"/>
      <w:tabs>
        <w:tab w:val="right" w:pos="8720" w:leader="dot"/>
      </w:tabs>
    </w:pPr>
    <w:rPr>
      <w:rFonts w:ascii="宋体" w:hAnsi="宋体"/>
      <w:caps/>
      <w:sz w:val="24"/>
      <w:szCs w:val="24"/>
      <w:lang w:eastAsia="en-US"/>
    </w:rPr>
  </w:style>
  <w:style w:type="paragraph" w:styleId="925">
    <w:name w:val="toc 4"/>
    <w:basedOn w:val="901"/>
    <w:next w:val="901"/>
    <w:uiPriority w:val="0"/>
    <w:qFormat/>
    <w:pPr>
      <w:ind w:left="630"/>
      <w:jc w:val="left"/>
    </w:pPr>
    <w:rPr>
      <w:szCs w:val="21"/>
    </w:rPr>
  </w:style>
  <w:style w:type="paragraph" w:styleId="926">
    <w:name w:val="List"/>
    <w:basedOn w:val="901"/>
    <w:uiPriority w:val="0"/>
    <w:qFormat/>
    <w:pPr>
      <w:ind w:left="200" w:hanging="200"/>
    </w:pPr>
    <w:rPr>
      <w:szCs w:val="21"/>
    </w:rPr>
  </w:style>
  <w:style w:type="paragraph" w:styleId="927">
    <w:name w:val="footnote text"/>
    <w:basedOn w:val="901"/>
    <w:uiPriority w:val="0"/>
    <w:qFormat/>
    <w:pPr>
      <w:jc w:val="left"/>
    </w:pPr>
    <w:rPr>
      <w:sz w:val="18"/>
      <w:szCs w:val="18"/>
    </w:rPr>
  </w:style>
  <w:style w:type="paragraph" w:styleId="928">
    <w:name w:val="toc 6"/>
    <w:basedOn w:val="901"/>
    <w:next w:val="901"/>
    <w:uiPriority w:val="0"/>
    <w:qFormat/>
    <w:pPr>
      <w:ind w:left="1050"/>
      <w:jc w:val="left"/>
    </w:pPr>
    <w:rPr>
      <w:szCs w:val="21"/>
    </w:rPr>
  </w:style>
  <w:style w:type="paragraph" w:styleId="929">
    <w:name w:val="toc 2"/>
    <w:basedOn w:val="901"/>
    <w:next w:val="901"/>
    <w:uiPriority w:val="0"/>
    <w:qFormat/>
    <w:pPr>
      <w:ind w:left="210"/>
      <w:jc w:val="left"/>
    </w:pPr>
    <w:rPr>
      <w:smallCaps/>
      <w:szCs w:val="24"/>
    </w:rPr>
  </w:style>
  <w:style w:type="paragraph" w:styleId="930">
    <w:name w:val="toc 9"/>
    <w:basedOn w:val="901"/>
    <w:next w:val="901"/>
    <w:uiPriority w:val="0"/>
    <w:qFormat/>
    <w:pPr>
      <w:ind w:left="1680"/>
      <w:jc w:val="left"/>
    </w:pPr>
    <w:rPr>
      <w:szCs w:val="21"/>
    </w:rPr>
  </w:style>
  <w:style w:type="paragraph" w:styleId="931">
    <w:name w:val="index 1"/>
    <w:basedOn w:val="901"/>
    <w:next w:val="901"/>
    <w:uiPriority w:val="0"/>
    <w:qFormat/>
    <w:pPr>
      <w:spacing w:line="240" w:lineRule="atLeast"/>
    </w:pPr>
    <w:rPr>
      <w:b/>
      <w:bCs/>
      <w:szCs w:val="21"/>
    </w:rPr>
  </w:style>
  <w:style w:type="table" w:styleId="932">
    <w:name w:val="Table Grid"/>
    <w:basedOn w:val="9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Strong"/>
    <w:basedOn w:val="934"/>
    <w:uiPriority w:val="0"/>
    <w:qFormat/>
    <w:rPr>
      <w:b/>
      <w:bCs/>
    </w:rPr>
  </w:style>
  <w:style w:type="character" w:styleId="934" w:customStyle="1">
    <w:name w:val="默认段落字体1"/>
    <w:uiPriority w:val="0"/>
    <w:qFormat/>
  </w:style>
  <w:style w:type="character" w:styleId="935">
    <w:name w:val="page number"/>
    <w:uiPriority w:val="0"/>
    <w:qFormat/>
  </w:style>
  <w:style w:type="character" w:styleId="936">
    <w:name w:val="FollowedHyperlink"/>
    <w:uiPriority w:val="0"/>
    <w:qFormat/>
    <w:rPr>
      <w:color w:val="800080"/>
      <w:u w:val="single"/>
    </w:rPr>
  </w:style>
  <w:style w:type="character" w:styleId="937">
    <w:name w:val="Hyperlink"/>
    <w:uiPriority w:val="0"/>
    <w:qFormat/>
    <w:rPr>
      <w:color w:val="0000ff"/>
      <w:u w:val="single"/>
    </w:rPr>
  </w:style>
  <w:style w:type="character" w:styleId="938" w:customStyle="1">
    <w:name w:val="WW8Num1z0"/>
    <w:uiPriority w:val="0"/>
    <w:qFormat/>
  </w:style>
  <w:style w:type="character" w:styleId="939" w:customStyle="1">
    <w:name w:val="WW8Num2z0"/>
    <w:uiPriority w:val="0"/>
    <w:qFormat/>
  </w:style>
  <w:style w:type="character" w:styleId="940" w:customStyle="1">
    <w:name w:val="WW8Num4z0"/>
    <w:uiPriority w:val="0"/>
    <w:qFormat/>
  </w:style>
  <w:style w:type="character" w:styleId="941" w:customStyle="1">
    <w:name w:val="标题 1 Char"/>
    <w:uiPriority w:val="0"/>
    <w:qFormat/>
    <w:rPr>
      <w:rFonts w:ascii="楷体_GB2312;楷体" w:hAnsi="楷体_GB2312;楷体" w:eastAsia="楷体_GB2312;楷体" w:cs="Times New Roman"/>
      <w:sz w:val="28"/>
      <w:szCs w:val="28"/>
    </w:rPr>
  </w:style>
  <w:style w:type="character" w:styleId="942" w:customStyle="1">
    <w:name w:val="标题 2 Char"/>
    <w:uiPriority w:val="0"/>
    <w:qFormat/>
    <w:rPr>
      <w:rFonts w:ascii="Arial" w:hAnsi="Arial" w:eastAsia="幼圆;宋体" w:cs="Arial"/>
      <w:b/>
      <w:bCs/>
      <w:sz w:val="44"/>
      <w:szCs w:val="44"/>
    </w:rPr>
  </w:style>
  <w:style w:type="character" w:styleId="943" w:customStyle="1">
    <w:name w:val="正文缩进 Char"/>
    <w:uiPriority w:val="0"/>
    <w:qFormat/>
    <w:rPr>
      <w:szCs w:val="21"/>
    </w:rPr>
  </w:style>
  <w:style w:type="character" w:styleId="944" w:customStyle="1">
    <w:name w:val="标题 3 Char"/>
    <w:uiPriority w:val="0"/>
    <w:qFormat/>
    <w:rPr>
      <w:rFonts w:ascii="Times New Roman" w:hAnsi="Times New Roman" w:eastAsia="宋体" w:cs="Times New Roman"/>
      <w:b/>
      <w:bCs/>
      <w:sz w:val="32"/>
      <w:szCs w:val="32"/>
    </w:rPr>
  </w:style>
  <w:style w:type="character" w:styleId="945" w:customStyle="1">
    <w:name w:val="标题 4 Char"/>
    <w:uiPriority w:val="0"/>
    <w:qFormat/>
    <w:rPr>
      <w:rFonts w:ascii="Arial" w:hAnsi="Arial" w:eastAsia="黑体" w:cs="Arial"/>
      <w:b/>
      <w:bCs/>
      <w:sz w:val="28"/>
      <w:szCs w:val="28"/>
    </w:rPr>
  </w:style>
  <w:style w:type="character" w:styleId="946" w:customStyle="1">
    <w:name w:val="标题 5 Char"/>
    <w:uiPriority w:val="0"/>
    <w:qFormat/>
    <w:rPr>
      <w:rFonts w:ascii="宋体" w:hAnsi="宋体" w:eastAsia="宋体" w:cs="Times New Roman"/>
      <w:color w:val="000000"/>
      <w:sz w:val="28"/>
      <w:szCs w:val="28"/>
    </w:rPr>
  </w:style>
  <w:style w:type="character" w:styleId="947" w:customStyle="1">
    <w:name w:val="标题 6 Char"/>
    <w:uiPriority w:val="0"/>
    <w:qFormat/>
    <w:rPr>
      <w:rFonts w:ascii="Arial" w:hAnsi="Arial" w:eastAsia="黑体" w:cs="Times New Roman"/>
      <w:b/>
      <w:bCs/>
      <w:sz w:val="24"/>
      <w:szCs w:val="24"/>
    </w:rPr>
  </w:style>
  <w:style w:type="character" w:styleId="948" w:customStyle="1">
    <w:name w:val="标题 7 Char"/>
    <w:uiPriority w:val="0"/>
    <w:qFormat/>
    <w:rPr>
      <w:rFonts w:ascii="Times New Roman" w:hAnsi="Times New Roman" w:eastAsia="宋体" w:cs="Times New Roman"/>
      <w:b/>
      <w:bCs/>
      <w:sz w:val="24"/>
      <w:szCs w:val="24"/>
    </w:rPr>
  </w:style>
  <w:style w:type="character" w:styleId="949" w:customStyle="1">
    <w:name w:val="标题 8 Char"/>
    <w:uiPriority w:val="0"/>
    <w:qFormat/>
    <w:rPr>
      <w:rFonts w:ascii="Arial" w:hAnsi="Arial" w:eastAsia="黑体" w:cs="Times New Roman"/>
      <w:sz w:val="24"/>
      <w:szCs w:val="24"/>
    </w:rPr>
  </w:style>
  <w:style w:type="character" w:styleId="950" w:customStyle="1">
    <w:name w:val="标题 9 Char"/>
    <w:uiPriority w:val="0"/>
    <w:qFormat/>
    <w:rPr>
      <w:rFonts w:ascii="Arial" w:hAnsi="Arial" w:eastAsia="黑体" w:cs="Times New Roman"/>
      <w:szCs w:val="21"/>
    </w:rPr>
  </w:style>
  <w:style w:type="character" w:styleId="951" w:customStyle="1">
    <w:name w:val="文档结构图 Char"/>
    <w:uiPriority w:val="0"/>
    <w:qFormat/>
    <w:rPr>
      <w:rFonts w:ascii="Times New Roman" w:hAnsi="Times New Roman" w:eastAsia="宋体" w:cs="Times New Roman"/>
      <w:szCs w:val="21"/>
      <w:shd w:val="clear" w:color="auto" w:fill="000080"/>
    </w:rPr>
  </w:style>
  <w:style w:type="character" w:styleId="952" w:customStyle="1">
    <w:name w:val="批注文字 Char"/>
    <w:basedOn w:val="934"/>
    <w:uiPriority w:val="0"/>
    <w:qFormat/>
  </w:style>
  <w:style w:type="character" w:styleId="953" w:customStyle="1">
    <w:name w:val="正文文本 3 Char"/>
    <w:uiPriority w:val="0"/>
    <w:qFormat/>
    <w:rPr>
      <w:rFonts w:ascii="仿宋_GB2312;仿宋" w:hAnsi="仿宋_GB2312;仿宋" w:eastAsia="仿宋_GB2312;仿宋" w:cs="Times New Roman"/>
      <w:sz w:val="32"/>
      <w:szCs w:val="32"/>
    </w:rPr>
  </w:style>
  <w:style w:type="character" w:styleId="954" w:customStyle="1">
    <w:name w:val="正文文本 Char"/>
    <w:uiPriority w:val="0"/>
    <w:qFormat/>
    <w:rPr>
      <w:rFonts w:ascii="楷体_GB2312;楷体" w:hAnsi="楷体_GB2312;楷体" w:eastAsia="楷体_GB2312;楷体" w:cs="Times New Roman"/>
      <w:sz w:val="28"/>
      <w:szCs w:val="28"/>
    </w:rPr>
  </w:style>
  <w:style w:type="character" w:styleId="955" w:customStyle="1">
    <w:name w:val="正文文本缩进 Char"/>
    <w:basedOn w:val="934"/>
    <w:uiPriority w:val="0"/>
    <w:qFormat/>
  </w:style>
  <w:style w:type="character" w:styleId="956" w:customStyle="1">
    <w:name w:val="纯文本 Char"/>
    <w:uiPriority w:val="0"/>
    <w:qFormat/>
    <w:rPr>
      <w:rFonts w:ascii="宋体" w:hAnsi="宋体" w:eastAsia="宋体" w:cs="Courier New"/>
      <w:szCs w:val="21"/>
    </w:rPr>
  </w:style>
  <w:style w:type="character" w:styleId="957" w:customStyle="1">
    <w:name w:val="日期 Char"/>
    <w:uiPriority w:val="0"/>
    <w:qFormat/>
    <w:rPr>
      <w:rFonts w:ascii="Times New Roman" w:hAnsi="Times New Roman" w:eastAsia="宋体" w:cs="Times New Roman"/>
      <w:sz w:val="24"/>
      <w:szCs w:val="24"/>
    </w:rPr>
  </w:style>
  <w:style w:type="character" w:styleId="958" w:customStyle="1">
    <w:name w:val="正文文本缩进 2 Char"/>
    <w:uiPriority w:val="0"/>
    <w:qFormat/>
    <w:rPr>
      <w:rFonts w:ascii="Arial" w:hAnsi="Arial" w:eastAsia="仿宋_GB2312;仿宋" w:cs="Arial"/>
      <w:sz w:val="32"/>
      <w:szCs w:val="32"/>
    </w:rPr>
  </w:style>
  <w:style w:type="character" w:styleId="959" w:customStyle="1">
    <w:name w:val="批注框文本 Char"/>
    <w:uiPriority w:val="0"/>
    <w:qFormat/>
    <w:rPr>
      <w:rFonts w:ascii="Times New Roman" w:hAnsi="Times New Roman" w:eastAsia="宋体" w:cs="Times New Roman"/>
      <w:sz w:val="18"/>
      <w:szCs w:val="18"/>
    </w:rPr>
  </w:style>
  <w:style w:type="character" w:styleId="960" w:customStyle="1">
    <w:name w:val="页脚 Char"/>
    <w:uiPriority w:val="0"/>
    <w:qFormat/>
    <w:rPr>
      <w:rFonts w:ascii="Times New Roman" w:hAnsi="Times New Roman" w:eastAsia="宋体" w:cs="Times New Roman"/>
      <w:sz w:val="18"/>
      <w:szCs w:val="18"/>
    </w:rPr>
  </w:style>
  <w:style w:type="character" w:styleId="961" w:customStyle="1">
    <w:name w:val="页眉 Char"/>
    <w:uiPriority w:val="0"/>
    <w:qFormat/>
    <w:rPr>
      <w:rFonts w:ascii="Times New Roman" w:hAnsi="Times New Roman" w:eastAsia="宋体" w:cs="Times New Roman"/>
      <w:sz w:val="18"/>
      <w:szCs w:val="18"/>
    </w:rPr>
  </w:style>
  <w:style w:type="character" w:styleId="962" w:customStyle="1">
    <w:name w:val="正文文本缩进 3 Char"/>
    <w:uiPriority w:val="0"/>
    <w:qFormat/>
    <w:rPr>
      <w:rFonts w:ascii="Arial" w:hAnsi="Arial" w:eastAsia="仿宋_GB2312;仿宋" w:cs="Arial"/>
      <w:color w:val="ffff00"/>
      <w:sz w:val="32"/>
      <w:szCs w:val="32"/>
    </w:rPr>
  </w:style>
  <w:style w:type="character" w:styleId="963" w:customStyle="1">
    <w:name w:val="正文文本 2 Char"/>
    <w:uiPriority w:val="0"/>
    <w:qFormat/>
    <w:rPr>
      <w:rFonts w:ascii="楷体_GB2312;楷体" w:hAnsi="楷体_GB2312;楷体" w:eastAsia="楷体_GB2312;楷体" w:cs="Times New Roman"/>
      <w:sz w:val="28"/>
      <w:szCs w:val="28"/>
    </w:rPr>
  </w:style>
  <w:style w:type="character" w:styleId="964" w:customStyle="1">
    <w:name w:val="批注主题 Char"/>
    <w:uiPriority w:val="0"/>
    <w:qFormat/>
    <w:rPr>
      <w:rFonts w:ascii="Times New Roman" w:hAnsi="Times New Roman" w:eastAsia="宋体" w:cs="Times New Roman"/>
      <w:b/>
      <w:bCs/>
      <w:szCs w:val="21"/>
    </w:rPr>
  </w:style>
  <w:style w:type="character" w:styleId="965" w:customStyle="1">
    <w:name w:val="正文首行缩进 Char"/>
    <w:uiPriority w:val="0"/>
    <w:qFormat/>
    <w:rPr>
      <w:rFonts w:ascii="仿宋_GB2312;仿宋" w:hAnsi="仿宋_GB2312;仿宋" w:eastAsia="仿宋_GB2312;仿宋" w:cs="Times New Roman"/>
      <w:sz w:val="30"/>
      <w:szCs w:val="30"/>
    </w:rPr>
  </w:style>
  <w:style w:type="character" w:styleId="966" w:customStyle="1">
    <w:name w:val="正文首行缩进 2 Char"/>
    <w:uiPriority w:val="0"/>
    <w:qFormat/>
    <w:rPr>
      <w:rFonts w:ascii="宋体" w:hAnsi="宋体" w:eastAsia="宋体" w:cs="Times New Roman"/>
      <w:szCs w:val="20"/>
    </w:rPr>
  </w:style>
  <w:style w:type="character" w:styleId="967" w:customStyle="1">
    <w:name w:val="批注引用1"/>
    <w:uiPriority w:val="0"/>
    <w:qFormat/>
    <w:rPr>
      <w:sz w:val="21"/>
      <w:szCs w:val="21"/>
    </w:rPr>
  </w:style>
  <w:style w:type="character" w:styleId="968" w:customStyle="1">
    <w:name w:val="font5 Char"/>
    <w:uiPriority w:val="0"/>
    <w:qFormat/>
    <w:rPr>
      <w:rFonts w:ascii="宋体" w:hAnsi="宋体" w:eastAsia="宋体" w:cs="宋体"/>
      <w:sz w:val="28"/>
      <w:szCs w:val="28"/>
      <w:lang w:val="en-US" w:eastAsia="zh-CN" w:bidi="ar-SA"/>
    </w:rPr>
  </w:style>
  <w:style w:type="character" w:styleId="969" w:customStyle="1">
    <w:name w:val="二级目录 Char"/>
    <w:uiPriority w:val="0"/>
    <w:qFormat/>
    <w:rPr>
      <w:b/>
      <w:sz w:val="30"/>
      <w:szCs w:val="28"/>
    </w:rPr>
  </w:style>
  <w:style w:type="character" w:styleId="970" w:customStyle="1">
    <w:name w:val="列出段落 Char"/>
    <w:uiPriority w:val="0"/>
    <w:qFormat/>
    <w:rPr>
      <w:rFonts w:ascii="Calibri" w:hAnsi="Calibri" w:cs="Calibri"/>
      <w:sz w:val="24"/>
      <w:szCs w:val="24"/>
      <w:lang w:eastAsia="en-US" w:bidi="en-US"/>
    </w:rPr>
  </w:style>
  <w:style w:type="character" w:styleId="971" w:customStyle="1">
    <w:name w:val="font11"/>
    <w:basedOn w:val="934"/>
    <w:uiPriority w:val="0"/>
    <w:qFormat/>
    <w:rPr>
      <w:rFonts w:ascii="宋体" w:hAnsi="宋体" w:eastAsia="宋体" w:cs="宋体"/>
      <w:color w:val="000000"/>
      <w:sz w:val="28"/>
      <w:szCs w:val="28"/>
      <w:u w:val="none"/>
    </w:rPr>
  </w:style>
  <w:style w:type="character" w:styleId="972" w:customStyle="1">
    <w:name w:val="font91"/>
    <w:basedOn w:val="934"/>
    <w:uiPriority w:val="0"/>
    <w:qFormat/>
    <w:rPr>
      <w:rFonts w:ascii="宋体" w:hAnsi="宋体" w:eastAsia="宋体" w:cs="宋体"/>
      <w:color w:val="000000"/>
      <w:sz w:val="28"/>
      <w:szCs w:val="28"/>
      <w:u w:val="none"/>
    </w:rPr>
  </w:style>
  <w:style w:type="character" w:styleId="973" w:customStyle="1">
    <w:name w:val="font81"/>
    <w:basedOn w:val="934"/>
    <w:uiPriority w:val="0"/>
    <w:qFormat/>
    <w:rPr>
      <w:rFonts w:ascii="宋体" w:hAnsi="宋体" w:eastAsia="宋体" w:cs="宋体"/>
      <w:color w:val="ff0000"/>
      <w:sz w:val="28"/>
      <w:szCs w:val="28"/>
      <w:u w:val="none"/>
    </w:rPr>
  </w:style>
  <w:style w:type="character" w:styleId="974" w:customStyle="1">
    <w:name w:val="Index Link"/>
    <w:uiPriority w:val="0"/>
    <w:qFormat/>
  </w:style>
  <w:style w:type="paragraph" w:styleId="975" w:customStyle="1">
    <w:name w:val="Heading"/>
    <w:basedOn w:val="901"/>
    <w:next w:val="913"/>
    <w:uiPriority w:val="0"/>
    <w:qFormat/>
    <w:pPr>
      <w:keepNext/>
      <w:spacing w:before="240" w:after="120"/>
    </w:pPr>
    <w:rPr>
      <w:rFonts w:ascii="Liberation Sans" w:hAnsi="Liberation Sans" w:eastAsia="Noto Sans CJK SC" w:cs="Lohit Devanagari"/>
      <w:sz w:val="28"/>
      <w:szCs w:val="28"/>
    </w:rPr>
  </w:style>
  <w:style w:type="paragraph" w:styleId="976" w:customStyle="1">
    <w:name w:val="Index"/>
    <w:basedOn w:val="901"/>
    <w:uiPriority w:val="0"/>
    <w:qFormat/>
    <w:pPr>
      <w:suppressLineNumbers/>
    </w:pPr>
    <w:rPr>
      <w:rFonts w:cs="Lohit Devanagari"/>
    </w:rPr>
  </w:style>
  <w:style w:type="paragraph" w:styleId="977" w:customStyle="1">
    <w:name w:val="列表 31"/>
    <w:basedOn w:val="901"/>
    <w:uiPriority w:val="0"/>
    <w:qFormat/>
    <w:pPr>
      <w:ind w:left="100" w:hanging="200"/>
    </w:pPr>
    <w:rPr>
      <w:szCs w:val="21"/>
    </w:rPr>
  </w:style>
  <w:style w:type="paragraph" w:styleId="978" w:customStyle="1">
    <w:name w:val="文档结构图1"/>
    <w:basedOn w:val="901"/>
    <w:uiPriority w:val="0"/>
    <w:qFormat/>
    <w:pPr>
      <w:shd w:val="clear" w:color="auto" w:fill="000080"/>
    </w:pPr>
    <w:rPr>
      <w:szCs w:val="21"/>
    </w:rPr>
  </w:style>
  <w:style w:type="paragraph" w:styleId="979" w:customStyle="1">
    <w:name w:val="批注文字1"/>
    <w:basedOn w:val="901"/>
    <w:uiPriority w:val="0"/>
    <w:qFormat/>
    <w:pPr>
      <w:jc w:val="left"/>
    </w:pPr>
  </w:style>
  <w:style w:type="paragraph" w:styleId="980" w:customStyle="1">
    <w:name w:val="正文文本 31"/>
    <w:basedOn w:val="901"/>
    <w:uiPriority w:val="0"/>
    <w:qFormat/>
    <w:rPr>
      <w:rFonts w:ascii="仿宋_GB2312;仿宋" w:hAnsi="仿宋_GB2312;仿宋" w:eastAsia="仿宋_GB2312;仿宋"/>
      <w:sz w:val="32"/>
      <w:szCs w:val="32"/>
    </w:rPr>
  </w:style>
  <w:style w:type="paragraph" w:styleId="981" w:customStyle="1">
    <w:name w:val="列表 21"/>
    <w:basedOn w:val="901"/>
    <w:uiPriority w:val="0"/>
    <w:qFormat/>
    <w:pPr>
      <w:ind w:left="100" w:hanging="200"/>
    </w:pPr>
    <w:rPr>
      <w:szCs w:val="21"/>
    </w:rPr>
  </w:style>
  <w:style w:type="paragraph" w:styleId="982" w:customStyle="1">
    <w:name w:val="纯文本1"/>
    <w:basedOn w:val="901"/>
    <w:uiPriority w:val="0"/>
    <w:qFormat/>
    <w:rPr>
      <w:rFonts w:ascii="宋体" w:hAnsi="宋体" w:cs="Courier New"/>
      <w:szCs w:val="21"/>
    </w:rPr>
  </w:style>
  <w:style w:type="paragraph" w:styleId="983" w:customStyle="1">
    <w:name w:val="日期1"/>
    <w:basedOn w:val="901"/>
    <w:next w:val="901"/>
    <w:uiPriority w:val="0"/>
    <w:qFormat/>
    <w:rPr>
      <w:sz w:val="24"/>
      <w:szCs w:val="24"/>
    </w:rPr>
  </w:style>
  <w:style w:type="paragraph" w:styleId="984" w:customStyle="1">
    <w:name w:val="正文文本缩进 21"/>
    <w:basedOn w:val="901"/>
    <w:uiPriority w:val="0"/>
    <w:qFormat/>
    <w:pPr>
      <w:ind w:left="630" w:firstLine="645"/>
    </w:pPr>
    <w:rPr>
      <w:rFonts w:ascii="Arial" w:hAnsi="Arial" w:eastAsia="仿宋_GB2312;仿宋" w:cs="Arial"/>
      <w:sz w:val="32"/>
      <w:szCs w:val="32"/>
    </w:rPr>
  </w:style>
  <w:style w:type="paragraph" w:styleId="985" w:customStyle="1">
    <w:name w:val="批注框文本1"/>
    <w:basedOn w:val="901"/>
    <w:uiPriority w:val="0"/>
    <w:qFormat/>
    <w:rPr>
      <w:sz w:val="18"/>
      <w:szCs w:val="18"/>
    </w:rPr>
  </w:style>
  <w:style w:type="paragraph" w:styleId="986" w:customStyle="1">
    <w:name w:val="Header and Footer"/>
    <w:basedOn w:val="901"/>
    <w:uiPriority w:val="0"/>
    <w:qFormat/>
    <w:pPr>
      <w:tabs>
        <w:tab w:val="center" w:pos="4819" w:leader="none"/>
        <w:tab w:val="right" w:pos="9638" w:leader="none"/>
      </w:tabs>
      <w:suppressLineNumbers/>
    </w:pPr>
  </w:style>
  <w:style w:type="paragraph" w:styleId="987" w:customStyle="1">
    <w:name w:val="正文文本缩进 31"/>
    <w:basedOn w:val="901"/>
    <w:uiPriority w:val="0"/>
    <w:qFormat/>
    <w:pPr>
      <w:ind w:left="645" w:firstLine="645"/>
    </w:pPr>
    <w:rPr>
      <w:rFonts w:ascii="Arial" w:hAnsi="Arial" w:eastAsia="仿宋_GB2312;仿宋" w:cs="Arial"/>
      <w:color w:val="ffff00"/>
      <w:sz w:val="32"/>
      <w:szCs w:val="32"/>
    </w:rPr>
  </w:style>
  <w:style w:type="paragraph" w:styleId="988" w:customStyle="1">
    <w:name w:val="图表目录1"/>
    <w:basedOn w:val="901"/>
    <w:next w:val="901"/>
    <w:uiPriority w:val="0"/>
    <w:qFormat/>
    <w:pPr>
      <w:ind w:left="840" w:hanging="420"/>
    </w:pPr>
    <w:rPr>
      <w:szCs w:val="21"/>
    </w:rPr>
  </w:style>
  <w:style w:type="paragraph" w:styleId="989" w:customStyle="1">
    <w:name w:val="正文文本 21"/>
    <w:basedOn w:val="901"/>
    <w:uiPriority w:val="0"/>
    <w:qFormat/>
    <w:pPr>
      <w:jc w:val="center"/>
      <w:widowControl/>
    </w:pPr>
    <w:rPr>
      <w:rFonts w:ascii="楷体_GB2312;楷体" w:hAnsi="楷体_GB2312;楷体" w:eastAsia="楷体_GB2312;楷体"/>
      <w:sz w:val="28"/>
      <w:szCs w:val="28"/>
    </w:rPr>
  </w:style>
  <w:style w:type="paragraph" w:styleId="990" w:customStyle="1">
    <w:name w:val="普通(网站)1"/>
    <w:basedOn w:val="901"/>
    <w:uiPriority w:val="0"/>
    <w:qFormat/>
    <w:pPr>
      <w:jc w:val="left"/>
      <w:spacing w:before="100" w:after="100"/>
      <w:widowControl/>
    </w:pPr>
    <w:rPr>
      <w:rFonts w:ascii="宋体" w:hAnsi="宋体" w:cs="宋体"/>
      <w:sz w:val="24"/>
      <w:szCs w:val="24"/>
    </w:rPr>
  </w:style>
  <w:style w:type="paragraph" w:styleId="991" w:customStyle="1">
    <w:name w:val="批注主题1"/>
    <w:basedOn w:val="979"/>
    <w:next w:val="979"/>
    <w:uiPriority w:val="0"/>
    <w:qFormat/>
    <w:rPr>
      <w:b/>
      <w:bCs/>
      <w:szCs w:val="21"/>
    </w:rPr>
  </w:style>
  <w:style w:type="paragraph" w:styleId="992" w:customStyle="1">
    <w:name w:val="正文首行缩进1"/>
    <w:basedOn w:val="913"/>
    <w:uiPriority w:val="0"/>
    <w:qFormat/>
    <w:pPr>
      <w:ind w:firstLine="200"/>
      <w:spacing w:line="360" w:lineRule="auto"/>
    </w:pPr>
    <w:rPr>
      <w:rFonts w:ascii="仿宋_GB2312;仿宋" w:hAnsi="仿宋_GB2312;仿宋" w:eastAsia="仿宋_GB2312;仿宋"/>
      <w:sz w:val="30"/>
      <w:szCs w:val="30"/>
    </w:rPr>
  </w:style>
  <w:style w:type="paragraph" w:styleId="993" w:customStyle="1">
    <w:name w:val="正文首行缩进 21"/>
    <w:basedOn w:val="917"/>
    <w:next w:val="901"/>
    <w:uiPriority w:val="0"/>
    <w:qFormat/>
    <w:pPr>
      <w:ind w:left="0" w:firstLine="420"/>
      <w:spacing w:after="0" w:line="360" w:lineRule="auto"/>
    </w:pPr>
    <w:rPr>
      <w:rFonts w:ascii="宋体" w:hAnsi="宋体"/>
      <w:szCs w:val="20"/>
    </w:rPr>
  </w:style>
  <w:style w:type="paragraph" w:styleId="994" w:customStyle="1">
    <w:name w:val="正文文本1"/>
    <w:basedOn w:val="901"/>
    <w:next w:val="901"/>
    <w:uiPriority w:val="0"/>
    <w:qFormat/>
    <w:rPr>
      <w:rFonts w:ascii="楷体_GB2312;楷体" w:hAnsi="楷体_GB2312;楷体" w:eastAsia="楷体_GB2312;楷体" w:cs="Arial"/>
      <w:sz w:val="28"/>
      <w:szCs w:val="28"/>
      <w:lang w:eastAsia="en-US"/>
    </w:rPr>
  </w:style>
  <w:style w:type="paragraph" w:styleId="995" w:customStyle="1">
    <w:name w:val="正文首行缩进11"/>
    <w:basedOn w:val="994"/>
    <w:uiPriority w:val="0"/>
    <w:qFormat/>
    <w:pPr>
      <w:ind w:firstLine="200"/>
      <w:spacing w:line="360" w:lineRule="auto"/>
    </w:pPr>
    <w:rPr>
      <w:rFonts w:ascii="仿宋_GB2312;仿宋" w:hAnsi="仿宋_GB2312;仿宋" w:eastAsia="仿宋_GB2312;仿宋" w:cs="Times New Roman"/>
      <w:sz w:val="30"/>
      <w:szCs w:val="30"/>
    </w:rPr>
  </w:style>
  <w:style w:type="paragraph" w:styleId="996"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997" w:customStyle="1">
    <w:name w:val="二级目录"/>
    <w:next w:val="901"/>
    <w:uiPriority w:val="0"/>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998" w:customStyle="1">
    <w:name w:val="列出段落1"/>
    <w:basedOn w:val="901"/>
    <w:uiPriority w:val="0"/>
    <w:qFormat/>
    <w:pPr>
      <w:contextualSpacing/>
      <w:ind w:left="720"/>
      <w:jc w:val="left"/>
      <w:widowControl/>
    </w:pPr>
    <w:rPr>
      <w:rFonts w:ascii="Calibri" w:hAnsi="Calibri" w:cs="Calibri"/>
      <w:sz w:val="24"/>
      <w:szCs w:val="24"/>
      <w:lang w:eastAsia="en-US" w:bidi="en-US"/>
    </w:rPr>
  </w:style>
  <w:style w:type="paragraph" w:styleId="999" w:customStyle="1">
    <w:name w:val="Body Text(ch)"/>
    <w:basedOn w:val="901"/>
    <w:next w:val="913"/>
    <w:uiPriority w:val="0"/>
    <w:qFormat/>
    <w:pPr>
      <w:spacing w:after="120"/>
    </w:pPr>
    <w:rPr>
      <w:rFonts w:ascii="宋体" w:hAnsi="宋体"/>
      <w:bCs/>
      <w:iCs/>
      <w:szCs w:val="24"/>
    </w:rPr>
  </w:style>
  <w:style w:type="paragraph" w:styleId="1000" w:customStyle="1">
    <w:name w:val="xl27"/>
    <w:basedOn w:val="901"/>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6"/>
    <w:basedOn w:val="901"/>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customStyle="1">
    <w:name w:val="Char"/>
    <w:basedOn w:val="901"/>
    <w:uiPriority w:val="0"/>
    <w:qFormat/>
    <w:pPr>
      <w:ind w:firstLine="200"/>
      <w:tabs>
        <w:tab w:val="left" w:pos="360" w:leader="none"/>
      </w:tabs>
    </w:pPr>
    <w:rPr>
      <w:sz w:val="28"/>
      <w:szCs w:val="30"/>
    </w:rPr>
  </w:style>
  <w:style w:type="paragraph" w:styleId="1003" w:customStyle="1">
    <w:name w:val="Char1"/>
    <w:basedOn w:val="978"/>
    <w:uiPriority w:val="0"/>
    <w:qFormat/>
    <w:rPr>
      <w:rFonts w:ascii="Tahoma" w:hAnsi="Tahoma" w:cs="Tahoma"/>
      <w:sz w:val="24"/>
      <w:szCs w:val="24"/>
    </w:rPr>
  </w:style>
  <w:style w:type="paragraph" w:styleId="1004" w:customStyle="1">
    <w:name w:val="普通正文"/>
    <w:basedOn w:val="901"/>
    <w:uiPriority w:val="0"/>
    <w:qFormat/>
    <w:pPr>
      <w:ind w:firstLine="480"/>
      <w:jc w:val="left"/>
      <w:spacing w:before="120" w:after="120" w:line="360" w:lineRule="auto"/>
    </w:pPr>
    <w:rPr>
      <w:rFonts w:ascii="Arial" w:hAnsi="Arial"/>
      <w:sz w:val="24"/>
      <w:szCs w:val="24"/>
    </w:rPr>
  </w:style>
  <w:style w:type="paragraph" w:styleId="1005" w:customStyle="1">
    <w:name w:val="table_lines"/>
    <w:basedOn w:val="901"/>
    <w:uiPriority w:val="0"/>
    <w:qFormat/>
    <w:pPr>
      <w:jc w:val="left"/>
      <w:widowControl/>
    </w:pPr>
    <w:rPr>
      <w:sz w:val="20"/>
      <w:szCs w:val="20"/>
      <w:lang w:val="de-DE" w:eastAsia="de-DE"/>
    </w:rPr>
  </w:style>
  <w:style w:type="paragraph" w:styleId="1006" w:customStyle="1">
    <w:name w:val="附录1"/>
    <w:uiPriority w:val="0"/>
    <w:qFormat/>
    <w:pPr>
      <w:ind w:left="907" w:hanging="907"/>
      <w:spacing w:before="240" w:line="600" w:lineRule="atLeast"/>
      <w:tabs>
        <w:tab w:val="left" w:pos="0" w:leader="none"/>
        <w:tab w:val="left" w:pos="907" w:leader="none"/>
      </w:tabs>
    </w:pPr>
    <w:rPr>
      <w:rFonts w:ascii="Times New Roman" w:hAnsi="Times New Roman" w:eastAsia="宋体" w:cs="Times New Roman"/>
      <w:b/>
      <w:i/>
      <w:sz w:val="28"/>
      <w:lang w:val="en-US" w:eastAsia="zh-CN" w:bidi="ar-SA"/>
    </w:rPr>
  </w:style>
  <w:style w:type="paragraph" w:styleId="1007" w:customStyle="1">
    <w:name w:val="font7"/>
    <w:basedOn w:val="901"/>
    <w:uiPriority w:val="0"/>
    <w:qFormat/>
    <w:pPr>
      <w:jc w:val="left"/>
      <w:spacing w:before="100" w:after="100"/>
      <w:widowControl/>
    </w:pPr>
    <w:rPr>
      <w:rFonts w:ascii="宋体" w:hAnsi="宋体"/>
      <w:sz w:val="18"/>
      <w:szCs w:val="18"/>
    </w:rPr>
  </w:style>
  <w:style w:type="paragraph" w:styleId="1008" w:customStyle="1">
    <w:name w:val="Char Char Char Char"/>
    <w:basedOn w:val="978"/>
    <w:uiPriority w:val="0"/>
    <w:qFormat/>
    <w:pPr>
      <w:spacing w:line="360" w:lineRule="auto"/>
    </w:pPr>
    <w:rPr>
      <w:rFonts w:ascii="Tahoma" w:hAnsi="Tahoma" w:cs="Tahoma"/>
      <w:sz w:val="24"/>
      <w:szCs w:val="24"/>
    </w:rPr>
  </w:style>
  <w:style w:type="paragraph" w:styleId="1009" w:customStyle="1">
    <w:name w:val="列出段落2"/>
    <w:basedOn w:val="901"/>
    <w:uiPriority w:val="0"/>
    <w:qFormat/>
    <w:pPr>
      <w:contextualSpacing/>
      <w:ind w:left="720"/>
      <w:jc w:val="left"/>
      <w:widowControl/>
    </w:pPr>
    <w:rPr>
      <w:rFonts w:ascii="Calibri" w:hAnsi="Calibri"/>
      <w:sz w:val="24"/>
      <w:szCs w:val="24"/>
      <w:lang w:eastAsia="en-US" w:bidi="en-US"/>
    </w:rPr>
  </w:style>
  <w:style w:type="paragraph" w:styleId="1010" w:customStyle="1">
    <w:name w:val="4"/>
    <w:basedOn w:val="901"/>
    <w:next w:val="987"/>
    <w:uiPriority w:val="0"/>
    <w:qFormat/>
    <w:pPr>
      <w:ind w:firstLine="420"/>
      <w:spacing w:line="360" w:lineRule="auto"/>
    </w:pPr>
    <w:rPr>
      <w:color w:val="ff0000"/>
      <w:sz w:val="24"/>
      <w:szCs w:val="24"/>
    </w:rPr>
  </w:style>
  <w:style w:type="paragraph" w:styleId="1011" w:customStyle="1">
    <w:name w:val="普通 (Web)"/>
    <w:basedOn w:val="901"/>
    <w:uiPriority w:val="0"/>
    <w:qFormat/>
    <w:pPr>
      <w:jc w:val="left"/>
      <w:spacing w:before="100" w:after="100"/>
      <w:widowControl/>
    </w:pPr>
    <w:rPr>
      <w:rFonts w:ascii="宋体" w:hAnsi="宋体"/>
      <w:sz w:val="24"/>
      <w:szCs w:val="24"/>
    </w:rPr>
  </w:style>
  <w:style w:type="paragraph" w:styleId="1012" w:customStyle="1">
    <w:name w:val="Char Char Char Char Char Char Char Char Char Char"/>
    <w:basedOn w:val="901"/>
    <w:uiPriority w:val="0"/>
    <w:qFormat/>
    <w:pPr>
      <w:spacing w:line="360" w:lineRule="auto"/>
    </w:pPr>
    <w:rPr>
      <w:sz w:val="24"/>
      <w:szCs w:val="20"/>
    </w:rPr>
  </w:style>
  <w:style w:type="paragraph" w:styleId="1013" w:customStyle="1">
    <w:name w:val="样式1"/>
    <w:basedOn w:val="901"/>
    <w:uiPriority w:val="0"/>
    <w:qFormat/>
    <w:pPr>
      <w:numPr>
        <w:ilvl w:val="0"/>
        <w:numId w:val="3"/>
      </w:numPr>
      <w:tabs>
        <w:tab w:val="left" w:pos="709" w:leader="none"/>
      </w:tabs>
    </w:pPr>
    <w:rPr>
      <w:rFonts w:ascii="宋体" w:hAnsi="宋体"/>
      <w:szCs w:val="21"/>
    </w:rPr>
  </w:style>
  <w:style w:type="paragraph" w:styleId="1014" w:customStyle="1">
    <w:name w:val="font6"/>
    <w:basedOn w:val="901"/>
    <w:uiPriority w:val="0"/>
    <w:qFormat/>
    <w:pPr>
      <w:jc w:val="left"/>
      <w:spacing w:before="100" w:after="100"/>
      <w:widowControl/>
    </w:pPr>
    <w:rPr>
      <w:rFonts w:ascii="宋体" w:hAnsi="宋体"/>
      <w:sz w:val="28"/>
      <w:szCs w:val="28"/>
      <w:u w:val="single"/>
    </w:rPr>
  </w:style>
  <w:style w:type="paragraph" w:styleId="1015" w:customStyle="1">
    <w:name w:val="xl25"/>
    <w:basedOn w:val="901"/>
    <w:uiPriority w:val="0"/>
    <w:qFormat/>
    <w:pPr>
      <w:jc w:val="center"/>
      <w:spacing w:before="100" w:after="100"/>
      <w:widowControl/>
    </w:pPr>
    <w:rPr>
      <w:rFonts w:ascii="Arial Unicode MS;宋体" w:hAnsi="Arial Unicode MS;宋体" w:eastAsia="Arial Unicode MS;宋体" w:cs="Arial Unicode MS;宋体"/>
      <w:sz w:val="24"/>
      <w:szCs w:val="24"/>
    </w:rPr>
  </w:style>
  <w:style w:type="paragraph" w:styleId="1016" w:customStyle="1">
    <w:name w:val="图标"/>
    <w:basedOn w:val="901"/>
    <w:next w:val="901"/>
    <w:uiPriority w:val="0"/>
    <w:qFormat/>
    <w:pPr>
      <w:ind w:left="840" w:hanging="420"/>
      <w:jc w:val="center"/>
      <w:spacing w:before="120" w:after="120" w:line="320" w:lineRule="atLeast"/>
      <w:tabs>
        <w:tab w:val="left" w:pos="567" w:leader="none"/>
        <w:tab w:val="left" w:pos="840" w:leader="none"/>
      </w:tabs>
    </w:pPr>
    <w:rPr>
      <w:rFonts w:eastAsia="仿宋_GB2312;仿宋"/>
      <w:sz w:val="24"/>
      <w:szCs w:val="20"/>
    </w:rPr>
  </w:style>
  <w:style w:type="paragraph" w:styleId="1017" w:customStyle="1">
    <w:name w:val="标题3"/>
    <w:basedOn w:val="901"/>
    <w:next w:val="901"/>
    <w:uiPriority w:val="0"/>
    <w:qFormat/>
    <w:pPr>
      <w:ind w:firstLine="624"/>
      <w:spacing w:line="590" w:lineRule="atLeast"/>
    </w:pPr>
    <w:rPr>
      <w:rFonts w:ascii="方正黑体_GBK;微软雅黑" w:hAnsi="方正黑体_GBK;微软雅黑" w:eastAsia="方正黑体_GBK;微软雅黑"/>
      <w:sz w:val="32"/>
      <w:szCs w:val="32"/>
    </w:rPr>
  </w:style>
  <w:style w:type="paragraph" w:styleId="1018" w:customStyle="1">
    <w:name w:val="xl24"/>
    <w:basedOn w:val="901"/>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9"/>
    <w:basedOn w:val="901"/>
    <w:uiPriority w:val="0"/>
    <w:qFormat/>
    <w:pPr>
      <w:jc w:val="left"/>
      <w:spacing w:before="100" w:after="100"/>
      <w:widowControl/>
      <w:pBdr>
        <w:left w:val="single" w:color="000000" w:sz="4" w:space="0"/>
        <w:bottom w:val="single" w:color="000000" w:sz="4" w:space="0"/>
      </w:pBdr>
    </w:pPr>
    <w:rPr>
      <w:rFonts w:ascii="宋体" w:hAnsi="宋体"/>
      <w:sz w:val="24"/>
      <w:szCs w:val="24"/>
    </w:rPr>
  </w:style>
  <w:style w:type="paragraph" w:styleId="1020" w:customStyle="1">
    <w:name w:val="Char Char Char Char Char Char Char Char"/>
    <w:basedOn w:val="901"/>
    <w:uiPriority w:val="0"/>
    <w:qFormat/>
    <w:pPr>
      <w:jc w:val="left"/>
      <w:spacing w:after="160" w:line="240" w:lineRule="exact"/>
      <w:widowControl/>
    </w:pPr>
    <w:rPr>
      <w:rFonts w:ascii="Verdana" w:hAnsi="Verdana"/>
      <w:sz w:val="20"/>
      <w:szCs w:val="20"/>
      <w:lang w:eastAsia="en-US"/>
    </w:rPr>
  </w:style>
  <w:style w:type="paragraph" w:styleId="1021" w:customStyle="1">
    <w:name w:val="xl28"/>
    <w:basedOn w:val="901"/>
    <w:uiPriority w:val="0"/>
    <w:qFormat/>
    <w:pPr>
      <w:jc w:val="left"/>
      <w:spacing w:before="100" w:after="100"/>
      <w:widowControl/>
      <w:pBdr>
        <w:top w:val="single" w:color="000000" w:sz="4" w:space="0"/>
        <w:left w:val="single" w:color="000000" w:sz="4" w:space="0"/>
        <w:bottom w:val="single" w:color="000000" w:sz="4" w:space="0"/>
      </w:pBdr>
    </w:pPr>
    <w:rPr>
      <w:rFonts w:ascii="宋体" w:hAnsi="宋体"/>
      <w:sz w:val="24"/>
      <w:szCs w:val="24"/>
    </w:rPr>
  </w:style>
  <w:style w:type="paragraph" w:styleId="1022" w:customStyle="1">
    <w:name w:val="Char Char Char Char Char Char Char Char1"/>
    <w:basedOn w:val="901"/>
    <w:uiPriority w:val="0"/>
    <w:qFormat/>
    <w:pPr>
      <w:jc w:val="left"/>
      <w:spacing w:after="160" w:line="240" w:lineRule="exact"/>
      <w:widowControl/>
    </w:pPr>
    <w:rPr>
      <w:rFonts w:ascii="Verdana" w:hAnsi="Verdana"/>
      <w:sz w:val="20"/>
      <w:szCs w:val="20"/>
      <w:lang w:eastAsia="en-US"/>
    </w:rPr>
  </w:style>
  <w:style w:type="paragraph" w:styleId="1023" w:customStyle="1">
    <w:name w:val="xl30"/>
    <w:basedOn w:val="901"/>
    <w:uiPriority w:val="0"/>
    <w:qFormat/>
    <w:pPr>
      <w:jc w:val="center"/>
      <w:spacing w:before="100" w:after="100"/>
      <w:widowControl/>
    </w:pPr>
    <w:rPr>
      <w:rFonts w:ascii="宋体" w:hAnsi="宋体"/>
      <w:b/>
      <w:bCs/>
      <w:sz w:val="36"/>
      <w:szCs w:val="36"/>
    </w:rPr>
  </w:style>
  <w:style w:type="paragraph" w:styleId="1024" w:customStyle="1">
    <w:name w:val="Char Char Char Char1"/>
    <w:basedOn w:val="978"/>
    <w:uiPriority w:val="0"/>
    <w:qFormat/>
    <w:pPr>
      <w:spacing w:line="360" w:lineRule="auto"/>
    </w:pPr>
    <w:rPr>
      <w:rFonts w:ascii="Tahoma" w:hAnsi="Tahoma" w:cs="Tahoma"/>
      <w:sz w:val="24"/>
      <w:szCs w:val="24"/>
    </w:rPr>
  </w:style>
  <w:style w:type="paragraph" w:styleId="1025" w:customStyle="1">
    <w:name w:val="table_1stline"/>
    <w:basedOn w:val="901"/>
    <w:uiPriority w:val="0"/>
    <w:qFormat/>
    <w:pPr>
      <w:jc w:val="left"/>
      <w:spacing w:before="120"/>
      <w:widowControl/>
    </w:pPr>
    <w:rPr>
      <w:bCs/>
      <w:sz w:val="20"/>
      <w:szCs w:val="20"/>
      <w:lang w:val="de-DE" w:eastAsia="de-DE"/>
    </w:rPr>
  </w:style>
  <w:style w:type="paragraph" w:styleId="1026" w:customStyle="1">
    <w:name w:val="font5"/>
    <w:basedOn w:val="901"/>
    <w:uiPriority w:val="0"/>
    <w:qFormat/>
    <w:pPr>
      <w:jc w:val="left"/>
      <w:spacing w:before="100" w:after="100"/>
      <w:widowControl/>
    </w:pPr>
    <w:rPr>
      <w:rFonts w:ascii="宋体" w:hAnsi="宋体"/>
      <w:sz w:val="28"/>
      <w:szCs w:val="28"/>
    </w:rPr>
  </w:style>
  <w:style w:type="paragraph" w:styleId="1027" w:customStyle="1">
    <w:name w:val="标题1"/>
    <w:basedOn w:val="901"/>
    <w:next w:val="901"/>
    <w:uiPriority w:val="0"/>
    <w:qFormat/>
    <w:pPr>
      <w:jc w:val="center"/>
      <w:spacing w:line="700" w:lineRule="atLeast"/>
      <w:tabs>
        <w:tab w:val="left" w:pos="9193" w:leader="none"/>
        <w:tab w:val="left" w:pos="9827" w:leader="none"/>
      </w:tabs>
    </w:pPr>
    <w:rPr>
      <w:rFonts w:ascii="方正小标宋_GBK;微软雅黑" w:hAnsi="方正小标宋_GBK;微软雅黑" w:eastAsia="方正小标宋_GBK;微软雅黑"/>
      <w:sz w:val="44"/>
      <w:szCs w:val="20"/>
    </w:rPr>
  </w:style>
  <w:style w:type="paragraph" w:styleId="1028" w:customStyle="1">
    <w:name w:val="修订1"/>
    <w:uiPriority w:val="0"/>
    <w:qFormat/>
    <w:rPr>
      <w:rFonts w:ascii="Times New Roman" w:hAnsi="Times New Roman" w:eastAsia="宋体" w:cs="Times New Roman"/>
      <w:sz w:val="21"/>
      <w:szCs w:val="21"/>
      <w:lang w:val="en-US" w:eastAsia="zh-CN" w:bidi="ar-SA"/>
    </w:rPr>
  </w:style>
  <w:style w:type="paragraph" w:styleId="1029"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30" w:customStyle="1">
    <w:name w:val="WPSOffice手动目录 1"/>
    <w:uiPriority w:val="0"/>
    <w:qFormat/>
    <w:rPr>
      <w:rFonts w:ascii="Times New Roman" w:hAnsi="Times New Roman" w:eastAsia="宋体" w:cs="Times New Roman"/>
      <w:lang w:val="en-US" w:eastAsia="zh-CN" w:bidi="hi-IN"/>
    </w:rPr>
  </w:style>
  <w:style w:type="paragraph" w:styleId="1031" w:customStyle="1">
    <w:name w:val="正文缩进1"/>
    <w:basedOn w:val="901"/>
    <w:uiPriority w:val="0"/>
    <w:qFormat/>
    <w:pPr>
      <w:ind w:firstLine="420"/>
    </w:pPr>
    <w:rPr>
      <w:sz w:val="20"/>
      <w:lang w:eastAsia="en-US"/>
    </w:rPr>
  </w:style>
  <w:style w:type="paragraph" w:styleId="1032" w:customStyle="1">
    <w:name w:val="Table Contents"/>
    <w:basedOn w:val="901"/>
    <w:uiPriority w:val="0"/>
    <w:qFormat/>
    <w:pPr>
      <w:suppressLineNumbers/>
    </w:pPr>
  </w:style>
  <w:style w:type="paragraph" w:styleId="1033" w:customStyle="1">
    <w:name w:val="Table Heading"/>
    <w:basedOn w:val="1032"/>
    <w:uiPriority w:val="0"/>
    <w:qFormat/>
    <w:pPr>
      <w:jc w:val="center"/>
    </w:pPr>
    <w:rPr>
      <w:b/>
      <w:bCs/>
    </w:rPr>
  </w:style>
  <w:style w:type="paragraph" w:styleId="1034" w:customStyle="1">
    <w:name w:val="Frame Contents"/>
    <w:basedOn w:val="901"/>
    <w:uiPriority w:val="0"/>
    <w:qFormat/>
  </w:style>
  <w:style w:type="paragraph" w:styleId="1035" w:customStyle="1">
    <w:name w:val="普通(网站)11"/>
    <w:basedOn w:val="901"/>
    <w:uiPriority w:val="99"/>
    <w:qFormat/>
    <w:pPr>
      <w:jc w:val="left"/>
      <w:spacing w:before="100" w:beforeAutospacing="1" w:after="100" w:afterAutospacing="1"/>
      <w:widowControl/>
    </w:pPr>
    <w:rPr>
      <w:rFonts w:ascii="宋体" w:hAnsi="宋体" w:cs="宋体"/>
      <w:sz w:val="24"/>
      <w:szCs w:val="24"/>
    </w:rPr>
  </w:style>
  <w:style w:type="character" w:styleId="1036" w:customStyle="1">
    <w:name w:val="强调1"/>
    <w:basedOn w:val="934"/>
    <w:uiPriority w:val="0"/>
    <w:qFormat/>
    <w:rPr>
      <w:rFonts w:ascii="Times New Roman" w:hAnsi="Times New Roman" w:eastAsia="宋体" w:cs="Times New Roman"/>
      <w:color w:val="auto"/>
      <w:sz w:val="21"/>
      <w:szCs w:val="22"/>
      <w:lang w:val="en-US" w:eastAsia="zh-CN" w:bidi="ar-SA"/>
    </w:rPr>
  </w:style>
  <w:style w:type="paragraph" w:styleId="1037" w:customStyle="1">
    <w:name w:val="Table Paragraph"/>
    <w:basedOn w:val="901"/>
    <w:uiPriority w:val="1"/>
    <w:qFormat/>
    <w:pPr>
      <w:jc w:val="left"/>
      <w:spacing w:after="200" w:line="276" w:lineRule="auto"/>
      <w:widowControl/>
    </w:pPr>
    <w:rPr>
      <w:rFonts w:ascii="宋体" w:hAnsi="宋体" w:cs="宋体"/>
      <w:sz w:val="22"/>
    </w:rPr>
  </w:style>
  <w:style w:type="paragraph" w:styleId="1038" w:customStyle="1">
    <w:name w:val="正文文本11"/>
    <w:basedOn w:val="901"/>
    <w:next w:val="901"/>
    <w:uiPriority w:val="0"/>
    <w:qFormat/>
    <w:rPr>
      <w:rFonts w:ascii="楷体_GB2312" w:hAnsi="Arial" w:eastAsia="楷体_GB2312"/>
      <w:sz w:val="28"/>
      <w:szCs w:val="28"/>
    </w:rPr>
  </w:style>
  <w:style w:type="character" w:styleId="1039" w:customStyle="1">
    <w:name w:val="正文文本缩进 Char1"/>
    <w:basedOn w:val="911"/>
    <w:link w:val="917"/>
    <w:uiPriority w:val="0"/>
    <w:qFormat/>
    <w:rPr>
      <w:sz w:val="21"/>
      <w:szCs w:val="22"/>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黑体"/>
        <a:cs typeface="DejaVu Sans"/>
      </a:majorFont>
      <a:minorFont>
        <a:latin typeface="Arial"/>
        <a:ea typeface="宋体"/>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olidFill>
        <a:solidFill>
          <a:schemeClr val="phClr"/>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如东分公司</cp:lastModifiedBy>
  <cp:revision>2</cp:revision>
  <dcterms:created xsi:type="dcterms:W3CDTF">2023-03-16T10:13:00Z</dcterms:created>
  <dcterms:modified xsi:type="dcterms:W3CDTF">2026-07-15T09:13:52Z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4EFEED18AF88328AD45D506A46CED9E8_43</vt:lpwstr>
  </property>
  <property fmtid="{D5CDD505-2E9C-101B-9397-08002B2CF9AE}" pid="3" name="KSOProductBuildVer">
    <vt:lpwstr>2052-12.1.0.26895</vt:lpwstr>
  </property>
  <property fmtid="{D5CDD505-2E9C-101B-9397-08002B2CF9AE}" pid="4" name="KSOTemplateDocerSaveRecord">
    <vt:lpwstr>eyJoZGlkIjoiYzE5NGY3ZDZlOWUzZDFiNjIxYjNhZjlkZGQ0MzVlOTAiLCJ1c2VySWQiOiIxMDU5NjI1NTIzIn0=</vt:lpwstr>
  </property>
</Properties>
</file>